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05" w:rsidRDefault="00937705" w:rsidP="00937705">
      <w:pPr>
        <w:pStyle w:val="Zkladntext"/>
        <w:jc w:val="center"/>
        <w:rPr>
          <w:b/>
          <w:sz w:val="32"/>
          <w:u w:val="single"/>
          <w:lang w:val="en-US"/>
        </w:rPr>
      </w:pPr>
      <w:bookmarkStart w:id="0" w:name="_Hlk3285025"/>
    </w:p>
    <w:p w:rsidR="00937705" w:rsidRDefault="00937705" w:rsidP="00937705">
      <w:pPr>
        <w:pStyle w:val="Zkladntext"/>
        <w:jc w:val="center"/>
        <w:rPr>
          <w:b/>
          <w:sz w:val="32"/>
          <w:u w:val="single"/>
          <w:lang w:val="en-US"/>
        </w:rPr>
      </w:pPr>
      <w:r w:rsidRPr="00937705">
        <w:rPr>
          <w:b/>
          <w:sz w:val="32"/>
          <w:u w:val="single"/>
          <w:lang w:val="en-US"/>
        </w:rPr>
        <w:t>Update on squeeze out proceedings</w:t>
      </w:r>
    </w:p>
    <w:p w:rsidR="00937705" w:rsidRPr="00937705" w:rsidRDefault="00937705" w:rsidP="00937705">
      <w:pPr>
        <w:pStyle w:val="Zkladntext"/>
        <w:rPr>
          <w:b/>
          <w:sz w:val="32"/>
          <w:u w:val="single"/>
          <w:lang w:val="en-US"/>
        </w:rPr>
      </w:pPr>
    </w:p>
    <w:p w:rsidR="00937705" w:rsidRPr="00937705" w:rsidRDefault="00937705" w:rsidP="00937705">
      <w:pPr>
        <w:pStyle w:val="Zkladntext"/>
      </w:pPr>
      <w:r w:rsidRPr="00937705">
        <w:t>Further to the earlier statement, Fortuna Entertainment Group N.V. ("</w:t>
      </w:r>
      <w:r w:rsidRPr="00937705">
        <w:rPr>
          <w:b/>
        </w:rPr>
        <w:t>Fortuna</w:t>
      </w:r>
      <w:r w:rsidRPr="00937705">
        <w:t>") wishes to provide an update on the discussions with the Dutch consignation office regarding the distribution of proceeds amongst the former shareholders of Fortuna as a final step of the squeeze out proceedings initiated by Fortbet Holdings Limited ("</w:t>
      </w:r>
      <w:r w:rsidRPr="00937705">
        <w:rPr>
          <w:b/>
          <w:bCs/>
        </w:rPr>
        <w:t>Fortbet</w:t>
      </w:r>
      <w:r w:rsidRPr="00937705">
        <w:t xml:space="preserve">"). </w:t>
      </w:r>
    </w:p>
    <w:p w:rsidR="00937705" w:rsidRPr="00937705" w:rsidRDefault="00937705" w:rsidP="00937705">
      <w:pPr>
        <w:pStyle w:val="Zkladntext"/>
        <w:rPr>
          <w:b/>
          <w:i/>
        </w:rPr>
      </w:pPr>
      <w:r w:rsidRPr="00937705">
        <w:rPr>
          <w:b/>
          <w:i/>
        </w:rPr>
        <w:t>Dutch law provisions on squeeze out proceedings</w:t>
      </w:r>
    </w:p>
    <w:p w:rsidR="00937705" w:rsidRPr="00937705" w:rsidRDefault="00937705" w:rsidP="00937705">
      <w:pPr>
        <w:pStyle w:val="Zkladntext"/>
      </w:pPr>
      <w:r w:rsidRPr="00937705">
        <w:t xml:space="preserve">According to Dutch law a shareholder owning 95% or more of a company’s issued capital may initiate legal proceedings to require all of the other shareholders to transfer their shares to him. On 20 June 2018, Fortbet initiated such squeeze out proceedings. On 30 October 2018, the Enterprise Chamber granted Fortbet's request and set the price at EUR 7.83 per share plus Dutch statutory interest as per 9 March 2018 (which will come down to EUR 7.94 per share as at 16 November 2018). </w:t>
      </w:r>
    </w:p>
    <w:p w:rsidR="00937705" w:rsidRPr="00937705" w:rsidRDefault="00937705" w:rsidP="00937705">
      <w:pPr>
        <w:spacing w:after="270" w:line="270" w:lineRule="atLeast"/>
        <w:jc w:val="both"/>
        <w:rPr>
          <w:rFonts w:ascii="Times New Roman" w:hAnsi="Times New Roman" w:cs="Times New Roman"/>
          <w:lang w:eastAsia="en-GB"/>
        </w:rPr>
      </w:pPr>
      <w:r w:rsidRPr="00937705">
        <w:rPr>
          <w:rFonts w:ascii="Times New Roman" w:hAnsi="Times New Roman" w:cs="Times New Roman"/>
          <w:lang w:eastAsia="en-GB"/>
        </w:rPr>
        <w:t>On 19 November 2018, Fortbet paid an amount corresponding to the remaining number of Fortuna shares on the consignation account of the Dutch Ministry of Finance. As a result, the remaining shares were transferred to Fortbet by operation of Dutch law and Forbet became the sole shareholder of Fortuna. As of payment into the consignation, the former shareholders can file a request for payment of the price for their shares to the Dutch consignation office (i.e. EUR 7.94 per previously held share).</w:t>
      </w:r>
    </w:p>
    <w:p w:rsidR="00937705" w:rsidRPr="00937705" w:rsidRDefault="00937705" w:rsidP="00937705">
      <w:pPr>
        <w:spacing w:after="270" w:line="270" w:lineRule="atLeast"/>
        <w:jc w:val="both"/>
        <w:rPr>
          <w:rFonts w:ascii="Times New Roman" w:hAnsi="Times New Roman" w:cs="Times New Roman"/>
          <w:lang w:eastAsia="en-GB"/>
        </w:rPr>
      </w:pPr>
      <w:r w:rsidRPr="00937705">
        <w:rPr>
          <w:rFonts w:ascii="Times New Roman" w:hAnsi="Times New Roman" w:cs="Times New Roman"/>
          <w:lang w:eastAsia="en-GB"/>
        </w:rPr>
        <w:t>Following the payment into the consignation, neither Fortbet nor Fortuna have any further obligations towards the former shareholders (and the former shareholders are free to apply for their proceeds with the Dutch consignation office at their own will and disposal at any time). However, Fortuna tries to ease the process for them by providing the below information.</w:t>
      </w:r>
    </w:p>
    <w:p w:rsidR="00937705" w:rsidRPr="00937705" w:rsidRDefault="00937705" w:rsidP="00937705">
      <w:pPr>
        <w:rPr>
          <w:rFonts w:ascii="Times New Roman" w:hAnsi="Times New Roman" w:cs="Times New Roman"/>
          <w:b/>
          <w:i/>
          <w:lang w:eastAsia="en-GB"/>
        </w:rPr>
      </w:pPr>
      <w:r w:rsidRPr="00937705">
        <w:rPr>
          <w:rFonts w:ascii="Times New Roman" w:hAnsi="Times New Roman" w:cs="Times New Roman"/>
          <w:b/>
          <w:i/>
          <w:lang w:eastAsia="en-GB"/>
        </w:rPr>
        <w:t>Procedure for payment from consignation office to former minority shareholders</w:t>
      </w:r>
    </w:p>
    <w:p w:rsidR="00937705" w:rsidRPr="00937705" w:rsidRDefault="00937705" w:rsidP="00937705">
      <w:pPr>
        <w:jc w:val="both"/>
        <w:rPr>
          <w:rFonts w:ascii="Times New Roman" w:hAnsi="Times New Roman" w:cs="Times New Roman"/>
          <w:lang w:eastAsia="en-GB"/>
        </w:rPr>
      </w:pPr>
      <w:r w:rsidRPr="00937705">
        <w:rPr>
          <w:rFonts w:ascii="Times New Roman" w:hAnsi="Times New Roman" w:cs="Times New Roman"/>
          <w:lang w:eastAsia="en-GB"/>
        </w:rPr>
        <w:t xml:space="preserve">To receive the squeeze out price corresponding to their former shares, each former shareholder has to file a request for payment to the Dutch consignation office, including various documents (e.g. proof of former ownership, proof of identity, etc.). </w:t>
      </w:r>
    </w:p>
    <w:p w:rsidR="00937705" w:rsidRPr="00937705" w:rsidRDefault="00937705" w:rsidP="00937705">
      <w:pPr>
        <w:pStyle w:val="Normlnweb"/>
        <w:spacing w:after="270" w:line="270" w:lineRule="atLeast"/>
        <w:jc w:val="both"/>
        <w:rPr>
          <w:color w:val="666666"/>
          <w:sz w:val="19"/>
          <w:szCs w:val="19"/>
          <w:lang w:val="en-US" w:eastAsia="nl-NL"/>
        </w:rPr>
      </w:pPr>
      <w:r w:rsidRPr="00937705">
        <w:rPr>
          <w:lang w:eastAsia="en-GB"/>
        </w:rPr>
        <w:t>This procedure could be time-consuming and costly for both the Dutch consignation office and the individual former shareholders. For this reason, Fortuna liaised with both the Dutch consignation office and the Central Securities Depository Prague ("</w:t>
      </w:r>
      <w:r w:rsidRPr="00937705">
        <w:rPr>
          <w:b/>
          <w:lang w:eastAsia="en-GB"/>
        </w:rPr>
        <w:t>CDCP</w:t>
      </w:r>
      <w:r w:rsidRPr="00937705">
        <w:rPr>
          <w:lang w:eastAsia="en-GB"/>
        </w:rPr>
        <w:t>") to see if a more efficient distribution of proceeds would be possible, i.e. the entire amount could be paid out through the CDCP to all participants so that no further action would be required from the participants and/or former shareholders.</w:t>
      </w:r>
    </w:p>
    <w:p w:rsidR="00937705" w:rsidRDefault="00937705" w:rsidP="00937705">
      <w:pPr>
        <w:jc w:val="both"/>
        <w:rPr>
          <w:rFonts w:ascii="Times New Roman" w:hAnsi="Times New Roman" w:cs="Times New Roman"/>
          <w:lang w:val="en-US" w:eastAsia="en-GB"/>
        </w:rPr>
      </w:pPr>
      <w:r w:rsidRPr="00937705">
        <w:rPr>
          <w:rFonts w:ascii="Times New Roman" w:hAnsi="Times New Roman" w:cs="Times New Roman"/>
          <w:lang w:val="en-US" w:eastAsia="en-GB"/>
        </w:rPr>
        <w:t>However, although all parties did their utmost to ensure the most efficient distribution of proceeds and had discussed it over a lengthy period, the envisaged structure unfortunately seemed to be incompatible with the Dutch law. Hence, the former shareholders individually will have to file a request for payment to the Dutch consignation office.</w:t>
      </w:r>
    </w:p>
    <w:p w:rsidR="00937705" w:rsidRPr="00937705" w:rsidRDefault="00937705" w:rsidP="00937705">
      <w:pPr>
        <w:rPr>
          <w:rFonts w:ascii="Times New Roman" w:hAnsi="Times New Roman" w:cs="Times New Roman"/>
          <w:lang w:val="en-US" w:eastAsia="en-GB"/>
        </w:rPr>
      </w:pPr>
      <w:r>
        <w:rPr>
          <w:rFonts w:ascii="Times New Roman" w:hAnsi="Times New Roman" w:cs="Times New Roman"/>
          <w:lang w:val="en-US" w:eastAsia="en-GB"/>
        </w:rPr>
        <w:br/>
      </w:r>
      <w:r>
        <w:rPr>
          <w:rFonts w:ascii="Times New Roman" w:hAnsi="Times New Roman" w:cs="Times New Roman"/>
          <w:lang w:val="en-US" w:eastAsia="en-GB"/>
        </w:rPr>
        <w:br/>
      </w:r>
    </w:p>
    <w:p w:rsidR="00937705" w:rsidRPr="00937705" w:rsidRDefault="00937705" w:rsidP="00937705">
      <w:pPr>
        <w:rPr>
          <w:rFonts w:ascii="Times New Roman" w:hAnsi="Times New Roman" w:cs="Times New Roman"/>
          <w:b/>
          <w:i/>
          <w:lang w:val="en-US" w:eastAsia="en-GB"/>
        </w:rPr>
      </w:pPr>
      <w:r w:rsidRPr="00937705">
        <w:rPr>
          <w:rFonts w:ascii="Times New Roman" w:hAnsi="Times New Roman" w:cs="Times New Roman"/>
          <w:b/>
          <w:i/>
          <w:lang w:val="en-US" w:eastAsia="en-GB"/>
        </w:rPr>
        <w:lastRenderedPageBreak/>
        <w:t>Standard procedure for payment from consignation office</w:t>
      </w:r>
    </w:p>
    <w:p w:rsidR="00937705" w:rsidRDefault="00937705" w:rsidP="00937705">
      <w:pPr>
        <w:jc w:val="both"/>
        <w:rPr>
          <w:rFonts w:ascii="Times New Roman" w:hAnsi="Times New Roman" w:cs="Times New Roman"/>
          <w:lang w:val="en-US" w:eastAsia="en-GB"/>
        </w:rPr>
      </w:pPr>
      <w:r w:rsidRPr="00937705">
        <w:rPr>
          <w:rFonts w:ascii="Times New Roman" w:hAnsi="Times New Roman" w:cs="Times New Roman"/>
          <w:lang w:val="en-US" w:eastAsia="en-GB"/>
        </w:rPr>
        <w:t xml:space="preserve">To simplify the procedure for the former shareholders to file such a request for payment, Fortuna together with the Dutch consignation office has prepared a standard request form as well as a list of documents that have to be filed for payment from the consignation office. </w:t>
      </w:r>
    </w:p>
    <w:p w:rsidR="00937705" w:rsidRPr="00937705" w:rsidRDefault="00937705" w:rsidP="00937705">
      <w:pPr>
        <w:jc w:val="both"/>
        <w:rPr>
          <w:rFonts w:ascii="Times New Roman" w:hAnsi="Times New Roman" w:cs="Times New Roman"/>
          <w:lang w:val="en-US" w:eastAsia="en-GB"/>
        </w:rPr>
      </w:pPr>
    </w:p>
    <w:p w:rsidR="00937705" w:rsidRPr="00937705" w:rsidRDefault="00937705" w:rsidP="00937705">
      <w:pPr>
        <w:jc w:val="both"/>
        <w:rPr>
          <w:rFonts w:ascii="Times New Roman" w:hAnsi="Times New Roman" w:cs="Times New Roman"/>
          <w:lang w:val="en-US" w:eastAsia="en-GB"/>
        </w:rPr>
      </w:pPr>
      <w:r w:rsidRPr="00937705">
        <w:rPr>
          <w:rFonts w:ascii="Times New Roman" w:hAnsi="Times New Roman" w:cs="Times New Roman"/>
          <w:lang w:val="en-US" w:eastAsia="en-GB"/>
        </w:rPr>
        <w:t>The standard form to request payment ("</w:t>
      </w:r>
      <w:r w:rsidRPr="00937705">
        <w:rPr>
          <w:rFonts w:ascii="Times New Roman" w:hAnsi="Times New Roman" w:cs="Times New Roman"/>
          <w:b/>
          <w:lang w:val="en-US" w:eastAsia="en-GB"/>
        </w:rPr>
        <w:t>Claim Submission Form</w:t>
      </w:r>
      <w:r w:rsidRPr="00937705">
        <w:rPr>
          <w:rFonts w:ascii="Times New Roman" w:hAnsi="Times New Roman" w:cs="Times New Roman"/>
          <w:lang w:val="en-US" w:eastAsia="en-GB"/>
        </w:rPr>
        <w:t xml:space="preserve">") and associated checklist can be downloaded: </w:t>
      </w:r>
    </w:p>
    <w:p w:rsidR="00937705" w:rsidRPr="00937705" w:rsidRDefault="00937705" w:rsidP="00937705">
      <w:pPr>
        <w:ind w:left="1440" w:firstLine="720"/>
        <w:rPr>
          <w:rFonts w:ascii="Times New Roman" w:hAnsi="Times New Roman" w:cs="Times New Roman"/>
          <w:lang w:val="en-US" w:eastAsia="en-GB"/>
        </w:rPr>
      </w:pPr>
      <w:r w:rsidRPr="00937705">
        <w:rPr>
          <w:rFonts w:ascii="Times New Roman" w:hAnsi="Times New Roman" w:cs="Times New Roman"/>
          <w:color w:val="0070C0"/>
          <w:u w:val="single"/>
          <w:lang w:val="en-US" w:eastAsia="en-GB"/>
        </w:rPr>
        <w:t>Here</w:t>
      </w:r>
      <w:r w:rsidRPr="00937705">
        <w:rPr>
          <w:rFonts w:ascii="Times New Roman" w:hAnsi="Times New Roman" w:cs="Times New Roman"/>
          <w:color w:val="002060"/>
          <w:lang w:val="en-US" w:eastAsia="en-GB"/>
        </w:rPr>
        <w:t xml:space="preserve"> </w:t>
      </w:r>
      <w:r w:rsidRPr="00937705">
        <w:rPr>
          <w:rFonts w:ascii="Times New Roman" w:hAnsi="Times New Roman" w:cs="Times New Roman"/>
          <w:lang w:val="en-US" w:eastAsia="en-GB"/>
        </w:rPr>
        <w:t>for natural persons; and</w:t>
      </w:r>
    </w:p>
    <w:p w:rsidR="00937705" w:rsidRDefault="00937705" w:rsidP="00937705">
      <w:pPr>
        <w:ind w:left="1440" w:firstLine="720"/>
        <w:rPr>
          <w:rFonts w:ascii="Times New Roman" w:hAnsi="Times New Roman" w:cs="Times New Roman"/>
          <w:lang w:val="en-US" w:eastAsia="en-GB"/>
        </w:rPr>
      </w:pPr>
      <w:r w:rsidRPr="00937705">
        <w:rPr>
          <w:rFonts w:ascii="Times New Roman" w:hAnsi="Times New Roman" w:cs="Times New Roman"/>
          <w:color w:val="0070C0"/>
          <w:u w:val="single"/>
          <w:lang w:val="en-US" w:eastAsia="en-GB"/>
        </w:rPr>
        <w:t>Here</w:t>
      </w:r>
      <w:r w:rsidRPr="00937705">
        <w:rPr>
          <w:rFonts w:ascii="Times New Roman" w:hAnsi="Times New Roman" w:cs="Times New Roman"/>
          <w:color w:val="0070C0"/>
          <w:lang w:val="en-US" w:eastAsia="en-GB"/>
        </w:rPr>
        <w:t xml:space="preserve"> </w:t>
      </w:r>
      <w:r w:rsidRPr="00937705">
        <w:rPr>
          <w:rFonts w:ascii="Times New Roman" w:hAnsi="Times New Roman" w:cs="Times New Roman"/>
          <w:lang w:val="en-US" w:eastAsia="en-GB"/>
        </w:rPr>
        <w:t xml:space="preserve">for legal entities. </w:t>
      </w:r>
    </w:p>
    <w:p w:rsidR="00937705" w:rsidRPr="00937705" w:rsidRDefault="00937705" w:rsidP="00937705">
      <w:pPr>
        <w:ind w:left="1440" w:firstLine="720"/>
        <w:rPr>
          <w:rFonts w:ascii="Times New Roman" w:hAnsi="Times New Roman" w:cs="Times New Roman"/>
          <w:lang w:val="en-US" w:eastAsia="en-GB"/>
        </w:rPr>
      </w:pPr>
    </w:p>
    <w:p w:rsidR="00937705" w:rsidRDefault="00937705" w:rsidP="00937705">
      <w:pPr>
        <w:jc w:val="both"/>
        <w:rPr>
          <w:rFonts w:ascii="Times New Roman" w:hAnsi="Times New Roman" w:cs="Times New Roman"/>
          <w:lang w:val="en-US" w:eastAsia="en-GB"/>
        </w:rPr>
      </w:pPr>
      <w:r w:rsidRPr="00937705">
        <w:rPr>
          <w:rFonts w:ascii="Times New Roman" w:hAnsi="Times New Roman" w:cs="Times New Roman"/>
          <w:lang w:val="en-US" w:eastAsia="en-GB"/>
        </w:rPr>
        <w:t>Together with a completed form, a request for payment has to also contain the following documents:</w:t>
      </w:r>
    </w:p>
    <w:p w:rsidR="00937705" w:rsidRPr="00937705" w:rsidRDefault="00937705" w:rsidP="00937705">
      <w:pPr>
        <w:rPr>
          <w:rFonts w:ascii="Times New Roman" w:hAnsi="Times New Roman" w:cs="Times New Roman"/>
          <w:lang w:val="en-US" w:eastAsia="en-GB"/>
        </w:rPr>
      </w:pPr>
    </w:p>
    <w:p w:rsidR="00937705" w:rsidRPr="00937705" w:rsidRDefault="00937705" w:rsidP="00937705">
      <w:pPr>
        <w:pStyle w:val="Odstavecseseznamem"/>
        <w:numPr>
          <w:ilvl w:val="0"/>
          <w:numId w:val="1"/>
        </w:numPr>
        <w:spacing w:after="160" w:line="360" w:lineRule="auto"/>
        <w:jc w:val="left"/>
        <w:rPr>
          <w:lang w:bidi="ar-SA"/>
        </w:rPr>
      </w:pPr>
      <w:r w:rsidRPr="00937705">
        <w:t>Claim Submission Form: 3 pages;</w:t>
      </w:r>
    </w:p>
    <w:p w:rsidR="00937705" w:rsidRPr="00937705" w:rsidRDefault="00937705" w:rsidP="00937705">
      <w:pPr>
        <w:pStyle w:val="Odstavecseseznamem"/>
        <w:numPr>
          <w:ilvl w:val="0"/>
          <w:numId w:val="1"/>
        </w:numPr>
        <w:spacing w:after="160" w:line="360" w:lineRule="auto"/>
        <w:jc w:val="left"/>
      </w:pPr>
      <w:r w:rsidRPr="00937705">
        <w:t>Scanned copy of a valid Photo ID; and</w:t>
      </w:r>
    </w:p>
    <w:p w:rsidR="00937705" w:rsidRPr="00937705" w:rsidRDefault="00937705" w:rsidP="00937705">
      <w:pPr>
        <w:pStyle w:val="Odstavecseseznamem"/>
        <w:numPr>
          <w:ilvl w:val="0"/>
          <w:numId w:val="1"/>
        </w:numPr>
        <w:spacing w:after="160" w:line="360" w:lineRule="auto"/>
        <w:jc w:val="left"/>
      </w:pPr>
      <w:r w:rsidRPr="00937705">
        <w:t xml:space="preserve">Statement of the Owner’s Account issued by the CDCP or a Participant with statement date 19 November 2018, stating (at least) the number of shares and Client ID-number. </w:t>
      </w:r>
    </w:p>
    <w:p w:rsidR="00937705" w:rsidRPr="00937705" w:rsidRDefault="00937705" w:rsidP="00937705">
      <w:pPr>
        <w:spacing w:after="160" w:line="360" w:lineRule="auto"/>
        <w:rPr>
          <w:rFonts w:ascii="Times New Roman" w:hAnsi="Times New Roman" w:cs="Times New Roman"/>
        </w:rPr>
      </w:pPr>
      <w:r w:rsidRPr="00937705">
        <w:rPr>
          <w:rFonts w:ascii="Times New Roman" w:hAnsi="Times New Roman" w:cs="Times New Roman"/>
        </w:rPr>
        <w:t xml:space="preserve">Is the requesting party a </w:t>
      </w:r>
      <w:r w:rsidRPr="00937705">
        <w:rPr>
          <w:rFonts w:ascii="Times New Roman" w:hAnsi="Times New Roman" w:cs="Times New Roman"/>
          <w:b/>
        </w:rPr>
        <w:t>legal entity?</w:t>
      </w:r>
      <w:r w:rsidRPr="00937705">
        <w:rPr>
          <w:rFonts w:ascii="Times New Roman" w:hAnsi="Times New Roman" w:cs="Times New Roman"/>
        </w:rPr>
        <w:t xml:space="preserve"> Then also attach: </w:t>
      </w:r>
    </w:p>
    <w:p w:rsidR="00937705" w:rsidRPr="00937705" w:rsidRDefault="00937705" w:rsidP="00937705">
      <w:pPr>
        <w:pStyle w:val="Odstavecseseznamem"/>
        <w:numPr>
          <w:ilvl w:val="1"/>
          <w:numId w:val="1"/>
        </w:numPr>
        <w:spacing w:after="160" w:line="360" w:lineRule="auto"/>
        <w:jc w:val="left"/>
      </w:pPr>
      <w:r w:rsidRPr="00937705">
        <w:t xml:space="preserve">An extract of the Chamber of Commerce of the legal entity for which the proceeds are requested; and </w:t>
      </w:r>
    </w:p>
    <w:p w:rsidR="00937705" w:rsidRPr="00937705" w:rsidRDefault="00937705" w:rsidP="00937705">
      <w:pPr>
        <w:pStyle w:val="Odstavecseseznamem"/>
        <w:numPr>
          <w:ilvl w:val="1"/>
          <w:numId w:val="1"/>
        </w:numPr>
        <w:spacing w:after="160" w:line="360" w:lineRule="auto"/>
        <w:jc w:val="left"/>
      </w:pPr>
      <w:r w:rsidRPr="00937705">
        <w:t>A duly notarized copy of the trade register extract or other proof of registration / board resolution from which the legal representation can be derived.</w:t>
      </w:r>
    </w:p>
    <w:bookmarkEnd w:id="0"/>
    <w:p w:rsidR="00937705" w:rsidRDefault="00937705" w:rsidP="00937705">
      <w:pPr>
        <w:rPr>
          <w:rFonts w:ascii="Times New Roman" w:hAnsi="Times New Roman" w:cs="Times New Roman"/>
          <w:lang w:val="en-US"/>
        </w:rPr>
      </w:pPr>
      <w:r w:rsidRPr="00937705">
        <w:rPr>
          <w:rFonts w:ascii="Times New Roman" w:hAnsi="Times New Roman" w:cs="Times New Roman"/>
          <w:lang w:val="en-US"/>
        </w:rPr>
        <w:t>The request form and documents can be scanned and send to the Dutch Consignation office:</w:t>
      </w:r>
    </w:p>
    <w:p w:rsidR="00937705" w:rsidRPr="00937705" w:rsidRDefault="00937705" w:rsidP="00937705">
      <w:pPr>
        <w:rPr>
          <w:rFonts w:ascii="Times New Roman" w:hAnsi="Times New Roman" w:cs="Times New Roman"/>
          <w:lang w:val="en-US"/>
        </w:rPr>
      </w:pPr>
    </w:p>
    <w:p w:rsidR="00937705" w:rsidRPr="00937705" w:rsidRDefault="00937705" w:rsidP="00937705">
      <w:pPr>
        <w:pStyle w:val="Odstavecseseznamem"/>
        <w:numPr>
          <w:ilvl w:val="0"/>
          <w:numId w:val="2"/>
        </w:numPr>
        <w:spacing w:line="360" w:lineRule="auto"/>
        <w:rPr>
          <w:color w:val="0070C0"/>
        </w:rPr>
      </w:pPr>
      <w:r w:rsidRPr="00937705">
        <w:t xml:space="preserve">Via e-mail in </w:t>
      </w:r>
      <w:r>
        <w:t xml:space="preserve">PDF to: </w:t>
      </w:r>
      <w:r>
        <w:tab/>
      </w:r>
      <w:hyperlink r:id="rId7" w:history="1">
        <w:r w:rsidRPr="00937705">
          <w:rPr>
            <w:rStyle w:val="Hypertextovodkaz"/>
            <w:color w:val="0070C0"/>
          </w:rPr>
          <w:t>Consignatiekas@minfin.nl</w:t>
        </w:r>
      </w:hyperlink>
    </w:p>
    <w:p w:rsidR="00937705" w:rsidRPr="00937705" w:rsidRDefault="00937705" w:rsidP="00937705">
      <w:pPr>
        <w:pStyle w:val="Odstavecseseznamem"/>
        <w:numPr>
          <w:ilvl w:val="0"/>
          <w:numId w:val="2"/>
        </w:numPr>
        <w:spacing w:after="0"/>
        <w:rPr>
          <w:lang w:val="en-US"/>
        </w:rPr>
      </w:pPr>
      <w:r w:rsidRPr="00937705">
        <w:rPr>
          <w:lang w:val="en-US"/>
        </w:rPr>
        <w:t>Or in hard copy to:</w:t>
      </w:r>
      <w:r w:rsidRPr="00937705">
        <w:rPr>
          <w:lang w:val="en-US"/>
        </w:rPr>
        <w:tab/>
      </w:r>
      <w:r w:rsidRPr="00937705">
        <w:rPr>
          <w:lang w:val="en-US"/>
        </w:rPr>
        <w:tab/>
        <w:t>Dutch Ministry of Finance</w:t>
      </w:r>
    </w:p>
    <w:p w:rsidR="00937705" w:rsidRPr="00937705" w:rsidRDefault="00937705" w:rsidP="00937705">
      <w:pPr>
        <w:ind w:left="2880" w:firstLine="664"/>
        <w:rPr>
          <w:rStyle w:val="Hypertextovodkaz"/>
          <w:rFonts w:ascii="Times New Roman" w:hAnsi="Times New Roman" w:cs="Times New Roman"/>
          <w:color w:val="auto"/>
          <w:lang w:val="en-US"/>
        </w:rPr>
      </w:pPr>
      <w:r w:rsidRPr="00937705">
        <w:rPr>
          <w:rStyle w:val="Hypertextovodkaz"/>
          <w:rFonts w:ascii="Times New Roman" w:hAnsi="Times New Roman" w:cs="Times New Roman"/>
          <w:color w:val="auto"/>
          <w:lang w:val="en-US"/>
        </w:rPr>
        <w:t>Attn. The Consignation Office</w:t>
      </w:r>
    </w:p>
    <w:p w:rsidR="00937705" w:rsidRPr="00937705" w:rsidRDefault="00937705" w:rsidP="00937705">
      <w:pPr>
        <w:ind w:left="2880" w:firstLine="664"/>
        <w:rPr>
          <w:rStyle w:val="Hypertextovodkaz"/>
          <w:rFonts w:ascii="Times New Roman" w:hAnsi="Times New Roman" w:cs="Times New Roman"/>
          <w:color w:val="auto"/>
          <w:lang w:val="en-US"/>
        </w:rPr>
      </w:pPr>
      <w:r w:rsidRPr="00937705">
        <w:rPr>
          <w:rStyle w:val="Hypertextovodkaz"/>
          <w:rFonts w:ascii="Times New Roman" w:hAnsi="Times New Roman" w:cs="Times New Roman"/>
          <w:color w:val="auto"/>
          <w:lang w:val="en-US"/>
        </w:rPr>
        <w:t>PO box 20201</w:t>
      </w:r>
    </w:p>
    <w:p w:rsidR="00937705" w:rsidRPr="00937705" w:rsidRDefault="00937705" w:rsidP="00937705">
      <w:pPr>
        <w:ind w:left="2880" w:firstLine="664"/>
        <w:rPr>
          <w:rStyle w:val="Hypertextovodkaz"/>
          <w:rFonts w:ascii="Times New Roman" w:hAnsi="Times New Roman" w:cs="Times New Roman"/>
          <w:color w:val="auto"/>
          <w:lang w:val="en-US"/>
        </w:rPr>
      </w:pPr>
      <w:r w:rsidRPr="00937705">
        <w:rPr>
          <w:rStyle w:val="Hypertextovodkaz"/>
          <w:rFonts w:ascii="Times New Roman" w:hAnsi="Times New Roman" w:cs="Times New Roman"/>
          <w:color w:val="auto"/>
          <w:lang w:val="en-US"/>
        </w:rPr>
        <w:t xml:space="preserve">2500 EE The Hague </w:t>
      </w:r>
    </w:p>
    <w:p w:rsidR="00937705" w:rsidRPr="00937705" w:rsidRDefault="00937705" w:rsidP="00937705">
      <w:pPr>
        <w:ind w:left="2880" w:firstLine="664"/>
        <w:rPr>
          <w:rStyle w:val="Hypertextovodkaz"/>
          <w:rFonts w:ascii="Times New Roman" w:hAnsi="Times New Roman" w:cs="Times New Roman"/>
          <w:color w:val="auto"/>
          <w:lang w:val="en-US"/>
        </w:rPr>
      </w:pPr>
      <w:r w:rsidRPr="00937705">
        <w:rPr>
          <w:rStyle w:val="Hypertextovodkaz"/>
          <w:rFonts w:ascii="Times New Roman" w:hAnsi="Times New Roman" w:cs="Times New Roman"/>
          <w:color w:val="auto"/>
          <w:lang w:val="en-US"/>
        </w:rPr>
        <w:t>The Netherlands</w:t>
      </w:r>
    </w:p>
    <w:p w:rsidR="00937705" w:rsidRPr="00937705" w:rsidRDefault="00937705" w:rsidP="00937705">
      <w:pPr>
        <w:pStyle w:val="Zkladntext"/>
        <w:rPr>
          <w:lang w:val="en-US"/>
        </w:rPr>
      </w:pPr>
      <w:r w:rsidRPr="00937705">
        <w:rPr>
          <w:lang w:val="en-US"/>
        </w:rPr>
        <w:br/>
        <w:t xml:space="preserve">Please note that the consignation proceedings are provided for by Dutch law and therefore do not fall within the control or responsibility of Fortuna. The above information (incl. the FAQs) were obtained by Fortuna on best efforts basis as of the date of this press release and should not be construed, perceived or relied upon as a legal advice or legal opinion. Each former shareholder should seek an independent legal advice or verify the information if necessary. </w:t>
      </w:r>
    </w:p>
    <w:p w:rsidR="00937705" w:rsidRPr="00937705" w:rsidRDefault="00937705" w:rsidP="00937705">
      <w:pPr>
        <w:pStyle w:val="Zkladntext"/>
        <w:rPr>
          <w:lang w:val="en-US"/>
        </w:rPr>
      </w:pPr>
      <w:r w:rsidRPr="00937705">
        <w:rPr>
          <w:lang w:val="en-US"/>
        </w:rPr>
        <w:t>Further please note that Fortuna does not have any direct communication with the consignation office, neither can Fortuna speed up the process of individual applications. Therefore, Fortuna´s employees and representatives cannot provide former shareholders with more information than is already available in this statement. Also, the CDCP is no longer involved in the process and cannot provide former shareholders with any further information.</w:t>
      </w:r>
    </w:p>
    <w:p w:rsidR="00937705" w:rsidRPr="00937705" w:rsidRDefault="00937705" w:rsidP="00937705">
      <w:pPr>
        <w:pStyle w:val="Zkladntext"/>
        <w:rPr>
          <w:b/>
          <w:lang w:val="en-US"/>
        </w:rPr>
      </w:pPr>
    </w:p>
    <w:p w:rsidR="00937705" w:rsidRPr="00937705" w:rsidRDefault="00937705" w:rsidP="00937705">
      <w:pPr>
        <w:pStyle w:val="Zkladntext"/>
        <w:rPr>
          <w:b/>
          <w:lang w:val="en-US"/>
        </w:rPr>
      </w:pPr>
      <w:r w:rsidRPr="00937705">
        <w:rPr>
          <w:b/>
          <w:lang w:val="en-US"/>
        </w:rPr>
        <w:lastRenderedPageBreak/>
        <w:t>FAQ</w:t>
      </w:r>
    </w:p>
    <w:p w:rsidR="00937705" w:rsidRPr="00937705" w:rsidRDefault="00937705" w:rsidP="00937705">
      <w:pPr>
        <w:pStyle w:val="Zkladntext"/>
        <w:rPr>
          <w:lang w:val="en-US"/>
        </w:rPr>
      </w:pPr>
      <w:r w:rsidRPr="00937705">
        <w:rPr>
          <w:lang w:val="en-US"/>
        </w:rPr>
        <w:t>Q: Does the payment out of the consignation bear interest?</w:t>
      </w:r>
    </w:p>
    <w:p w:rsidR="00937705" w:rsidRPr="00937705" w:rsidRDefault="00937705" w:rsidP="00937705">
      <w:pPr>
        <w:pStyle w:val="Zkladntext"/>
        <w:rPr>
          <w:b/>
          <w:lang w:val="en-US"/>
        </w:rPr>
      </w:pPr>
      <w:r w:rsidRPr="00937705">
        <w:rPr>
          <w:b/>
          <w:lang w:val="en-US"/>
        </w:rPr>
        <w:t xml:space="preserve">A: Pursuant to the Consignation of Monies Act, the interest will only accrue for claim that </w:t>
      </w:r>
      <w:r>
        <w:rPr>
          <w:b/>
          <w:lang w:val="en-US"/>
        </w:rPr>
        <w:t>amount to EUR 45.</w:t>
      </w:r>
      <w:r w:rsidRPr="00937705">
        <w:rPr>
          <w:b/>
          <w:lang w:val="en-US"/>
        </w:rPr>
        <w:t>38 or more.</w:t>
      </w:r>
    </w:p>
    <w:p w:rsidR="00937705" w:rsidRPr="00937705" w:rsidRDefault="00937705" w:rsidP="00937705">
      <w:pPr>
        <w:pStyle w:val="Zkladntext"/>
        <w:rPr>
          <w:lang w:val="en-US"/>
        </w:rPr>
      </w:pPr>
      <w:r w:rsidRPr="00937705">
        <w:rPr>
          <w:lang w:val="en-US"/>
        </w:rPr>
        <w:t>Q: Does the Dutch consignation office reimburse former shareholders for transaction fees, e.g. banking fees?</w:t>
      </w:r>
    </w:p>
    <w:p w:rsidR="00937705" w:rsidRPr="00937705" w:rsidRDefault="00937705" w:rsidP="00937705">
      <w:pPr>
        <w:pStyle w:val="Zkladntext"/>
        <w:rPr>
          <w:b/>
          <w:lang w:val="en-US"/>
        </w:rPr>
      </w:pPr>
      <w:r w:rsidRPr="00937705">
        <w:rPr>
          <w:b/>
          <w:lang w:val="en-US"/>
        </w:rPr>
        <w:t>A. Under Dutch law the consignation office has no obligation to reimburse any transaction fees.</w:t>
      </w:r>
    </w:p>
    <w:p w:rsidR="00937705" w:rsidRPr="00937705" w:rsidRDefault="00937705" w:rsidP="00937705">
      <w:pPr>
        <w:pStyle w:val="Zkladntext"/>
        <w:rPr>
          <w:lang w:val="en-US"/>
        </w:rPr>
      </w:pPr>
      <w:r w:rsidRPr="00937705">
        <w:rPr>
          <w:lang w:val="en-US"/>
        </w:rPr>
        <w:t>Q. Is there a deadline for former shareholders to file their request for payment?</w:t>
      </w:r>
    </w:p>
    <w:p w:rsidR="00937705" w:rsidRPr="00937705" w:rsidRDefault="00937705" w:rsidP="00937705">
      <w:pPr>
        <w:pStyle w:val="Zkladntext"/>
        <w:rPr>
          <w:b/>
          <w:lang w:val="en-US"/>
        </w:rPr>
      </w:pPr>
      <w:r w:rsidRPr="00937705">
        <w:rPr>
          <w:b/>
          <w:lang w:val="en-US"/>
        </w:rPr>
        <w:t>A. Former shareholders have until 18 November 2038 to file their request. After that, the total remaining balance will accrue to the Dutch State by operation of law.</w:t>
      </w:r>
    </w:p>
    <w:p w:rsidR="00937705" w:rsidRPr="00937705" w:rsidRDefault="00937705" w:rsidP="00937705">
      <w:pPr>
        <w:pStyle w:val="Zkladntext"/>
        <w:rPr>
          <w:lang w:val="en-US"/>
        </w:rPr>
      </w:pPr>
      <w:r w:rsidRPr="00937705">
        <w:rPr>
          <w:lang w:val="en-US"/>
        </w:rPr>
        <w:t>Q. Is it possible for the consignation office to pay the price in other currency than EUR?</w:t>
      </w:r>
    </w:p>
    <w:p w:rsidR="00937705" w:rsidRPr="00937705" w:rsidRDefault="00937705" w:rsidP="00937705">
      <w:pPr>
        <w:pStyle w:val="Zkladntext"/>
        <w:rPr>
          <w:b/>
          <w:lang w:val="en-US"/>
        </w:rPr>
      </w:pPr>
      <w:r w:rsidRPr="00937705">
        <w:rPr>
          <w:b/>
          <w:lang w:val="en-US"/>
        </w:rPr>
        <w:t>A.  Payment in other currency than EUR is possible, however, this will take more time and will come with an additional costs (see also the following below Q&amp;</w:t>
      </w:r>
      <w:r w:rsidRPr="00937705">
        <w:rPr>
          <w:b/>
          <w:lang w:val="cs-CZ"/>
        </w:rPr>
        <w:t>A)</w:t>
      </w:r>
      <w:r w:rsidRPr="00937705">
        <w:rPr>
          <w:b/>
          <w:lang w:val="en-US"/>
        </w:rPr>
        <w:t>. The EUR amounts are converted by the Dutch ING Bank at the applicable rate as determined by the Dutch ING Bank on the day of transfer.</w:t>
      </w:r>
    </w:p>
    <w:p w:rsidR="00937705" w:rsidRPr="00937705" w:rsidRDefault="00937705" w:rsidP="00937705">
      <w:pPr>
        <w:pStyle w:val="Zkladntext"/>
        <w:rPr>
          <w:lang w:val="en-US"/>
        </w:rPr>
      </w:pPr>
      <w:r w:rsidRPr="00937705">
        <w:rPr>
          <w:lang w:val="en-US"/>
        </w:rPr>
        <w:t>Q. Is it possible for the consignation office to pay out the proceeds to other than EUR denominated bank accounts (for example CZK and PLN accounts)?</w:t>
      </w:r>
    </w:p>
    <w:p w:rsidR="00937705" w:rsidRPr="00937705" w:rsidRDefault="00937705" w:rsidP="00937705">
      <w:pPr>
        <w:pStyle w:val="Zkladntext"/>
        <w:rPr>
          <w:b/>
          <w:lang w:val="en-US"/>
        </w:rPr>
      </w:pPr>
      <w:r w:rsidRPr="00937705">
        <w:rPr>
          <w:b/>
          <w:lang w:val="en-US"/>
        </w:rPr>
        <w:t>A.  The consignation office is able to pay out the proceeds to a CZK and PLN denominated bank account however, this will take more time and will come with an additional costs. Due to European bank legislation PSD2 the mandatory option for bank costs is shared cost (SHA) for a SEPA payment (this means bank costs on behalf of the beneficiary are depending on the tariffs as determined by his/her banking institution for a CZK/PLN bank transfer).</w:t>
      </w:r>
    </w:p>
    <w:p w:rsidR="00937705" w:rsidRPr="00937705" w:rsidRDefault="00937705" w:rsidP="00937705">
      <w:pPr>
        <w:pStyle w:val="Zkladntext"/>
        <w:rPr>
          <w:lang w:val="en-US"/>
        </w:rPr>
      </w:pPr>
      <w:r w:rsidRPr="00937705">
        <w:rPr>
          <w:lang w:val="en-US"/>
        </w:rPr>
        <w:t>Q. Once I send the application and the other documents to the consignation office, when can I expect the payment?</w:t>
      </w:r>
    </w:p>
    <w:p w:rsidR="00937705" w:rsidRPr="00937705" w:rsidRDefault="00937705" w:rsidP="00937705">
      <w:pPr>
        <w:pStyle w:val="Zkladntext"/>
        <w:rPr>
          <w:b/>
          <w:lang w:val="en-US"/>
        </w:rPr>
      </w:pPr>
      <w:r w:rsidRPr="00937705">
        <w:rPr>
          <w:b/>
          <w:lang w:val="en-US"/>
        </w:rPr>
        <w:t>A.  Due to the large number of former shareholders the process of all requests will take time and payment is expected to take several months.</w:t>
      </w:r>
    </w:p>
    <w:p w:rsidR="00937705" w:rsidRPr="00937705" w:rsidRDefault="00937705" w:rsidP="00937705">
      <w:pPr>
        <w:pStyle w:val="Zkladntext"/>
        <w:rPr>
          <w:lang w:val="en-US"/>
        </w:rPr>
      </w:pPr>
      <w:r w:rsidRPr="00937705">
        <w:rPr>
          <w:lang w:val="en-US"/>
        </w:rPr>
        <w:t>Q. My father was a shareholder of Fortuna and he died recently. I have inherited the right to receive the proceeds. How can I claim the money and what document the consignation office needs?</w:t>
      </w:r>
    </w:p>
    <w:p w:rsidR="00937705" w:rsidRPr="00937705" w:rsidRDefault="00937705" w:rsidP="00937705">
      <w:pPr>
        <w:pStyle w:val="Zkladntext"/>
        <w:rPr>
          <w:b/>
          <w:lang w:val="en-US"/>
        </w:rPr>
      </w:pPr>
      <w:r w:rsidRPr="00937705">
        <w:rPr>
          <w:b/>
          <w:lang w:val="en-US"/>
        </w:rPr>
        <w:t>A.  In addition to the documents set out above, the inheriting person should include proof that he or she inherited the former shares (e.g. a will or a certificate of inheritance). If such document is not in Dutch or English, attaching a translation into one of the mentioned languages in recommended in order to speed up the process.</w:t>
      </w:r>
    </w:p>
    <w:p w:rsidR="00937705" w:rsidRPr="00937705" w:rsidRDefault="00937705" w:rsidP="00937705">
      <w:pPr>
        <w:pStyle w:val="Zkladntext"/>
        <w:rPr>
          <w:lang w:val="en-US"/>
        </w:rPr>
      </w:pPr>
      <w:r w:rsidRPr="00937705">
        <w:rPr>
          <w:lang w:val="en-US"/>
        </w:rPr>
        <w:t>Q. Does the consignation office accept documents in other languages than Dutch or English?</w:t>
      </w:r>
    </w:p>
    <w:p w:rsidR="00937705" w:rsidRPr="00937705" w:rsidRDefault="00937705" w:rsidP="00937705">
      <w:pPr>
        <w:pStyle w:val="Zkladntext"/>
        <w:rPr>
          <w:b/>
          <w:lang w:val="en-US"/>
        </w:rPr>
      </w:pPr>
      <w:r w:rsidRPr="00937705">
        <w:rPr>
          <w:b/>
          <w:lang w:val="en-US"/>
        </w:rPr>
        <w:t xml:space="preserve">A.  The consignation office, in principle, accepts documents in other languages than Dutch and English. In the event of unclarity the consignation office reserves the right to request for additional information.  </w:t>
      </w:r>
    </w:p>
    <w:p w:rsidR="00937705" w:rsidRPr="00937705" w:rsidRDefault="00937705" w:rsidP="00937705">
      <w:pPr>
        <w:pStyle w:val="Zkladntext"/>
        <w:rPr>
          <w:lang w:val="en-US"/>
        </w:rPr>
      </w:pPr>
      <w:r w:rsidRPr="00937705">
        <w:rPr>
          <w:lang w:val="en-US"/>
        </w:rPr>
        <w:lastRenderedPageBreak/>
        <w:t>Q. When the application is filled out incorrectly (with mistakes or errors), will the office let me know and ask me to correct this?</w:t>
      </w:r>
    </w:p>
    <w:p w:rsidR="00937705" w:rsidRPr="00937705" w:rsidRDefault="00937705" w:rsidP="00937705">
      <w:pPr>
        <w:pStyle w:val="Zkladntext"/>
        <w:rPr>
          <w:b/>
          <w:lang w:val="en-US"/>
        </w:rPr>
      </w:pPr>
      <w:r w:rsidRPr="00937705">
        <w:rPr>
          <w:b/>
          <w:lang w:val="en-US"/>
        </w:rPr>
        <w:t xml:space="preserve">A. The consignation office will reject the request and ask you to supply them with extra information for approval of your request. </w:t>
      </w:r>
      <w:bookmarkStart w:id="1" w:name="_Hlk6235466"/>
      <w:r w:rsidR="00275878">
        <w:rPr>
          <w:b/>
          <w:lang w:val="en-US"/>
        </w:rPr>
        <w:t>This correspondence will only take place via e-mail in the English/Dutch language.</w:t>
      </w:r>
      <w:bookmarkEnd w:id="1"/>
      <w:r w:rsidR="00275878">
        <w:rPr>
          <w:b/>
          <w:lang w:val="en-US"/>
        </w:rPr>
        <w:t xml:space="preserve"> </w:t>
      </w:r>
      <w:r w:rsidRPr="00937705">
        <w:rPr>
          <w:b/>
          <w:lang w:val="en-US"/>
        </w:rPr>
        <w:t xml:space="preserve">Please note that this will negatively affect the pay-out time.  </w:t>
      </w:r>
    </w:p>
    <w:p w:rsidR="00937705" w:rsidRPr="00937705" w:rsidRDefault="00937705" w:rsidP="00937705">
      <w:pPr>
        <w:pStyle w:val="Zkladntext"/>
        <w:rPr>
          <w:b/>
          <w:lang w:val="en-US"/>
        </w:rPr>
      </w:pPr>
    </w:p>
    <w:p w:rsidR="00937705" w:rsidRPr="00937705" w:rsidRDefault="003A65A6" w:rsidP="00937705">
      <w:pPr>
        <w:pStyle w:val="Zkladntext"/>
        <w:jc w:val="right"/>
        <w:rPr>
          <w:lang w:val="en-US"/>
        </w:rPr>
      </w:pPr>
      <w:r>
        <w:rPr>
          <w:lang w:val="en-US"/>
        </w:rPr>
        <w:t>Amsterdam, 16</w:t>
      </w:r>
      <w:r w:rsidR="00937705" w:rsidRPr="00937705">
        <w:rPr>
          <w:lang w:val="en-US"/>
        </w:rPr>
        <w:t xml:space="preserve"> April 2919</w:t>
      </w:r>
    </w:p>
    <w:p w:rsidR="00937705" w:rsidRPr="00937705" w:rsidRDefault="00937705" w:rsidP="00937705">
      <w:pPr>
        <w:pStyle w:val="Zkladntext"/>
        <w:rPr>
          <w:lang w:val="en-US"/>
        </w:rPr>
      </w:pPr>
    </w:p>
    <w:p w:rsidR="006B7C4A" w:rsidRPr="00937705" w:rsidRDefault="006B7C4A">
      <w:pPr>
        <w:rPr>
          <w:rFonts w:ascii="Times New Roman" w:hAnsi="Times New Roman" w:cs="Times New Roman"/>
        </w:rPr>
      </w:pPr>
      <w:bookmarkStart w:id="2" w:name="_GoBack"/>
      <w:bookmarkEnd w:id="2"/>
    </w:p>
    <w:sectPr w:rsidR="006B7C4A" w:rsidRPr="00937705" w:rsidSect="00E4352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5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FE" w:rsidRDefault="00C920FE" w:rsidP="006B7C4A">
      <w:r>
        <w:separator/>
      </w:r>
    </w:p>
  </w:endnote>
  <w:endnote w:type="continuationSeparator" w:id="0">
    <w:p w:rsidR="00C920FE" w:rsidRDefault="00C920FE" w:rsidP="006B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Základní tex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6A" w:rsidRDefault="006948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761905209"/>
      <w:docPartObj>
        <w:docPartGallery w:val="Page Numbers (Bottom of Page)"/>
        <w:docPartUnique/>
      </w:docPartObj>
    </w:sdtPr>
    <w:sdtEndPr>
      <w:rPr>
        <w:rStyle w:val="slostrnky"/>
      </w:rPr>
    </w:sdtEndPr>
    <w:sdtContent>
      <w:p w:rsidR="00BA4771" w:rsidRDefault="00BA4771" w:rsidP="00BA4771">
        <w:pPr>
          <w:pStyle w:val="Zpat"/>
          <w:framePr w:h="286" w:hRule="exact" w:wrap="none" w:vAnchor="text" w:hAnchor="margin" w:xAlign="right" w:y="49"/>
          <w:rPr>
            <w:rStyle w:val="slostrnky"/>
          </w:rPr>
        </w:pPr>
        <w:r w:rsidRPr="00E4352C">
          <w:rPr>
            <w:rStyle w:val="slostrnky"/>
            <w:sz w:val="21"/>
          </w:rPr>
          <w:fldChar w:fldCharType="begin"/>
        </w:r>
        <w:r w:rsidRPr="00E4352C">
          <w:rPr>
            <w:rStyle w:val="slostrnky"/>
            <w:sz w:val="21"/>
          </w:rPr>
          <w:instrText xml:space="preserve"> PAGE </w:instrText>
        </w:r>
        <w:r w:rsidRPr="00E4352C">
          <w:rPr>
            <w:rStyle w:val="slostrnky"/>
            <w:sz w:val="21"/>
          </w:rPr>
          <w:fldChar w:fldCharType="separate"/>
        </w:r>
        <w:r w:rsidR="003A65A6">
          <w:rPr>
            <w:rStyle w:val="slostrnky"/>
            <w:noProof/>
            <w:sz w:val="21"/>
          </w:rPr>
          <w:t>4</w:t>
        </w:r>
        <w:r w:rsidRPr="00E4352C">
          <w:rPr>
            <w:rStyle w:val="slostrnky"/>
            <w:sz w:val="21"/>
          </w:rPr>
          <w:fldChar w:fldCharType="end"/>
        </w:r>
      </w:p>
    </w:sdtContent>
  </w:sdt>
  <w:p w:rsidR="006B7C4A" w:rsidRDefault="00BA4771" w:rsidP="00BA4771">
    <w:pPr>
      <w:pStyle w:val="Zpat"/>
      <w:tabs>
        <w:tab w:val="clear" w:pos="9072"/>
        <w:tab w:val="right" w:pos="9632"/>
      </w:tabs>
    </w:pPr>
    <w:r>
      <w:rPr>
        <w:noProof/>
      </w:rPr>
      <w:t xml:space="preserve"> </w:t>
    </w:r>
    <w:r w:rsidR="006B7C4A">
      <w:rPr>
        <w:noProof/>
        <w:lang w:eastAsia="cs-CZ"/>
      </w:rPr>
      <w:drawing>
        <wp:inline distT="0" distB="0" distL="0" distR="0" wp14:anchorId="32270347" wp14:editId="1DB58BB8">
          <wp:extent cx="3277773" cy="23412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mek obrazovky 2019-01-21 v 23.41.31.png"/>
                  <pic:cNvPicPr/>
                </pic:nvPicPr>
                <pic:blipFill>
                  <a:blip r:embed="rId1">
                    <a:extLst>
                      <a:ext uri="{28A0092B-C50C-407E-A947-70E740481C1C}">
                        <a14:useLocalDpi xmlns:a14="http://schemas.microsoft.com/office/drawing/2010/main" val="0"/>
                      </a:ext>
                    </a:extLst>
                  </a:blip>
                  <a:stretch>
                    <a:fillRect/>
                  </a:stretch>
                </pic:blipFill>
                <pic:spPr>
                  <a:xfrm>
                    <a:off x="0" y="0"/>
                    <a:ext cx="3277773" cy="234127"/>
                  </a:xfrm>
                  <a:prstGeom prst="rect">
                    <a:avLst/>
                  </a:prstGeom>
                </pic:spPr>
              </pic:pic>
            </a:graphicData>
          </a:graphic>
        </wp:inline>
      </w:drawing>
    </w:r>
    <w:r w:rsidR="00E4352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2C" w:rsidRDefault="00BA4771" w:rsidP="00BA4771">
    <w:pPr>
      <w:pStyle w:val="Zpat"/>
      <w:tabs>
        <w:tab w:val="clear" w:pos="9072"/>
        <w:tab w:val="right" w:pos="9632"/>
      </w:tabs>
      <w:ind w:right="360"/>
    </w:pPr>
    <w:r>
      <w:rPr>
        <w:noProof/>
      </w:rPr>
      <w:t xml:space="preserve"> </w:t>
    </w:r>
    <w:r w:rsidR="00E4352C">
      <w:rPr>
        <w:noProof/>
        <w:lang w:eastAsia="cs-CZ"/>
      </w:rPr>
      <w:drawing>
        <wp:inline distT="0" distB="0" distL="0" distR="0" wp14:anchorId="712CCD93" wp14:editId="5ED76807">
          <wp:extent cx="3277773" cy="234127"/>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mek obrazovky 2019-01-21 v 23.41.31.png"/>
                  <pic:cNvPicPr/>
                </pic:nvPicPr>
                <pic:blipFill>
                  <a:blip r:embed="rId1">
                    <a:extLst>
                      <a:ext uri="{28A0092B-C50C-407E-A947-70E740481C1C}">
                        <a14:useLocalDpi xmlns:a14="http://schemas.microsoft.com/office/drawing/2010/main" val="0"/>
                      </a:ext>
                    </a:extLst>
                  </a:blip>
                  <a:stretch>
                    <a:fillRect/>
                  </a:stretch>
                </pic:blipFill>
                <pic:spPr>
                  <a:xfrm>
                    <a:off x="0" y="0"/>
                    <a:ext cx="3277773" cy="234127"/>
                  </a:xfrm>
                  <a:prstGeom prst="rect">
                    <a:avLst/>
                  </a:prstGeom>
                </pic:spPr>
              </pic:pic>
            </a:graphicData>
          </a:graphic>
        </wp:inline>
      </w:drawing>
    </w:r>
    <w:r w:rsidR="00E4352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FE" w:rsidRDefault="00C920FE" w:rsidP="006B7C4A">
      <w:r>
        <w:separator/>
      </w:r>
    </w:p>
  </w:footnote>
  <w:footnote w:type="continuationSeparator" w:id="0">
    <w:p w:rsidR="00C920FE" w:rsidRDefault="00C920FE" w:rsidP="006B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6A" w:rsidRDefault="006948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4A" w:rsidRPr="00E4352C" w:rsidRDefault="00E4352C" w:rsidP="00E4352C">
    <w:pPr>
      <w:pStyle w:val="Normlnweb"/>
      <w:tabs>
        <w:tab w:val="left" w:pos="5670"/>
      </w:tabs>
      <w:ind w:left="1843"/>
      <w:rPr>
        <w:rFonts w:ascii="Arial" w:hAnsi="Arial" w:cs="Arial"/>
        <w:color w:val="00071E"/>
        <w:sz w:val="15"/>
        <w:szCs w:val="14"/>
      </w:rPr>
    </w:pPr>
    <w:r>
      <w:rPr>
        <w:noProof/>
      </w:rPr>
      <w:drawing>
        <wp:anchor distT="0" distB="0" distL="114300" distR="114300" simplePos="0" relativeHeight="251660288" behindDoc="0" locked="0" layoutInCell="1" allowOverlap="1">
          <wp:simplePos x="0" y="0"/>
          <wp:positionH relativeFrom="column">
            <wp:posOffset>33020</wp:posOffset>
          </wp:positionH>
          <wp:positionV relativeFrom="paragraph">
            <wp:posOffset>52079</wp:posOffset>
          </wp:positionV>
          <wp:extent cx="830687" cy="417413"/>
          <wp:effectExtent l="0" t="0" r="0" b="1905"/>
          <wp:wrapNone/>
          <wp:docPr id="5" name="Obrázek 5" descr="Obsah obrázku objekt  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G Logo Blue.png"/>
                  <pic:cNvPicPr/>
                </pic:nvPicPr>
                <pic:blipFill>
                  <a:blip r:embed="rId1">
                    <a:extLst>
                      <a:ext uri="{28A0092B-C50C-407E-A947-70E740481C1C}">
                        <a14:useLocalDpi xmlns:a14="http://schemas.microsoft.com/office/drawing/2010/main" val="0"/>
                      </a:ext>
                    </a:extLst>
                  </a:blip>
                  <a:stretch>
                    <a:fillRect/>
                  </a:stretch>
                </pic:blipFill>
                <pic:spPr>
                  <a:xfrm>
                    <a:off x="0" y="0"/>
                    <a:ext cx="830687" cy="41741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71E"/>
        <w:sz w:val="14"/>
        <w:szCs w:val="14"/>
      </w:rPr>
      <w:br/>
      <w:t xml:space="preserve">FORTUNA </w:t>
    </w:r>
    <w:r w:rsidR="0069486A">
      <w:rPr>
        <w:rFonts w:ascii="Arial" w:hAnsi="Arial" w:cs="Arial"/>
        <w:color w:val="00071E"/>
        <w:sz w:val="14"/>
        <w:szCs w:val="14"/>
      </w:rPr>
      <w:t>ENTERTAINMENT GROUP N.V.</w:t>
    </w:r>
    <w:r>
      <w:rPr>
        <w:rFonts w:ascii="Arial" w:hAnsi="Arial" w:cs="Arial"/>
        <w:color w:val="00071E"/>
        <w:sz w:val="14"/>
        <w:szCs w:val="14"/>
      </w:rPr>
      <w:tab/>
    </w:r>
    <w:r w:rsidRPr="006B7C4A">
      <w:rPr>
        <w:rFonts w:ascii="Arial" w:hAnsi="Arial" w:cs="Arial"/>
        <w:color w:val="00071E"/>
        <w:sz w:val="15"/>
        <w:szCs w:val="14"/>
      </w:rPr>
      <w:t xml:space="preserve">Phone: </w:t>
    </w:r>
    <w:r w:rsidR="0069486A" w:rsidRPr="006B7C4A">
      <w:rPr>
        <w:rFonts w:ascii="Arial" w:hAnsi="Arial" w:cs="Arial"/>
        <w:color w:val="00071E"/>
        <w:sz w:val="15"/>
        <w:szCs w:val="14"/>
      </w:rPr>
      <w:t>+</w:t>
    </w:r>
    <w:r w:rsidR="0069486A" w:rsidRPr="0069486A">
      <w:rPr>
        <w:rFonts w:ascii="Arial" w:hAnsi="Arial" w:cs="Arial"/>
        <w:color w:val="00071E"/>
        <w:sz w:val="15"/>
        <w:szCs w:val="14"/>
      </w:rPr>
      <w:t>31 020 238 0320</w:t>
    </w:r>
    <w:r w:rsidR="006B7C4A">
      <w:rPr>
        <w:rFonts w:ascii="Arial" w:hAnsi="Arial" w:cs="Arial"/>
        <w:color w:val="00071E"/>
        <w:sz w:val="14"/>
        <w:szCs w:val="14"/>
      </w:rPr>
      <w:br/>
    </w:r>
    <w:r w:rsidR="0069486A" w:rsidRPr="0069486A">
      <w:rPr>
        <w:rFonts w:ascii="Arial" w:hAnsi="Arial" w:cs="Arial"/>
        <w:color w:val="00071E"/>
        <w:sz w:val="15"/>
        <w:szCs w:val="14"/>
      </w:rPr>
      <w:t>Strawinskylaan 1223, 1077XX Amsterdam</w:t>
    </w:r>
    <w:r w:rsidR="0069486A">
      <w:rPr>
        <w:rFonts w:ascii="Arial" w:hAnsi="Arial" w:cs="Arial"/>
        <w:color w:val="00071E"/>
        <w:sz w:val="15"/>
        <w:szCs w:val="14"/>
      </w:rPr>
      <w:t xml:space="preserve"> </w:t>
    </w:r>
    <w:r w:rsidR="006B7C4A" w:rsidRPr="006B7C4A">
      <w:rPr>
        <w:noProof/>
      </w:rPr>
      <mc:AlternateContent>
        <mc:Choice Requires="wps">
          <w:drawing>
            <wp:anchor distT="0" distB="0" distL="114300" distR="114300" simplePos="0" relativeHeight="251659264" behindDoc="0" locked="0" layoutInCell="1" allowOverlap="1" wp14:anchorId="00AA59F4" wp14:editId="2249A63B">
              <wp:simplePos x="0" y="0"/>
              <wp:positionH relativeFrom="column">
                <wp:posOffset>-317189</wp:posOffset>
              </wp:positionH>
              <wp:positionV relativeFrom="paragraph">
                <wp:posOffset>271780</wp:posOffset>
              </wp:positionV>
              <wp:extent cx="0" cy="9521270"/>
              <wp:effectExtent l="25400" t="25400" r="38100" b="41910"/>
              <wp:wrapNone/>
              <wp:docPr id="3" name="Přímá spojnice 3"/>
              <wp:cNvGraphicFramePr/>
              <a:graphic xmlns:a="http://schemas.openxmlformats.org/drawingml/2006/main">
                <a:graphicData uri="http://schemas.microsoft.com/office/word/2010/wordprocessingShape">
                  <wps:wsp>
                    <wps:cNvCnPr/>
                    <wps:spPr>
                      <a:xfrm>
                        <a:off x="0" y="0"/>
                        <a:ext cx="0" cy="9521270"/>
                      </a:xfrm>
                      <a:prstGeom prst="line">
                        <a:avLst/>
                      </a:prstGeom>
                      <a:ln>
                        <a:solidFill>
                          <a:srgbClr val="0F0F23"/>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7D78DD" id="Přímá spojnic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21.4pt" to="-25pt,77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WquN+wEAAFMEAAAOAAAAZHJzL2Uyb0RvYy54bWysVMuO0zAU3SPxD5b3NI8Rr6jpLGYoGwQV jw9wnevGyC/Zpkk+hSUfwFeM+C+unTYDzEgjEBvXds6595yTm64vR63IEXyQ1rS0WpWUgOG2k+bQ 0k8ft09eUBIiMx1T1kBLJwj0cvP40XpwDdS2t6oDT7CICc3gWtrH6JqiCLwHzcLKOjD4UFivWcSj PxSdZwNW16qoy/JZMVjfOW85hIC31/NDusn1hQAe3wkRIBLVUtQW8+rzuk9rsVmz5uCZ6yU/yWD/ oEIzabDpUuqaRUa+eHmnlJbc22BFXHGrCyuE5JA9oJuq/MPNh545yF4wnOCWmML/K8vfHneeyK6l F5QYpvEV7X58vfmub76R4Oxng/rIRYppcKFB9JXZ+dMpuJ1PnkfhdfpFN2TM0U5LtDBGwudLjrcv n9ZV/TzHXtwSnQ/xNVhN0qalSprkmjXs+CZEbIbQMyRdK5PWYJXstlKpfPCH/ZXy5MjSe96W2zpr RuJvsB5Y98p0JE4OjVpEUzK0NGhKFOD84iYPRGRSPYzD6klKkZKZs8i7OCmYZb4HgdGi+yrbyUMN i0zGOZhYpY65EqITTaClhVg+TDzhExXywP8NeWHkztbEhaylsf6+7nE8SxYz/pzA7DtFsLfdlKck R4OTmx2evrL0afx6zvTb/4LNTwAAAP//AwBQSwMEFAAGAAgAAAAhAJiAIRjfAAAACwEAAA8AAABk cnMvZG93bnJldi54bWxMj8FOwzAMhu9IvENkJG5bSrSiqTSdEGKCyw4MJu2YNl5brXFCk23l7THi AEfbn35/f7ma3CDOOMbek4a7eQYCqfG2p1bDx/t6tgQRkyFrBk+o4QsjrKrrq9IU1l/oDc/b1AoO oVgYDV1KoZAyNh06E+c+IPHt4EdnEo9jK+1oLhzuBqmy7F460xN/6EzApw6b4/bkNBwPn3Ffvzy/ +s1GNXmod24Z1lrf3kyPDyASTukPhh99VoeKnWp/IhvFoGGWZ9wlaVgorsDA76JmMl8oBbIq5f8O 1TcAAAD//wMAUEsBAi0AFAAGAAgAAAAhALaDOJL+AAAA4QEAABMAAAAAAAAAAAAAAAAAAAAAAFtD b250ZW50X1R5cGVzXS54bWxQSwECLQAUAAYACAAAACEAOP0h/9YAAACUAQAACwAAAAAAAAAAAAAA AAAvAQAAX3JlbHMvLnJlbHNQSwECLQAUAAYACAAAACEAz1qrjfsBAABTBAAADgAAAAAAAAAAAAAA AAAuAgAAZHJzL2Uyb0RvYy54bWxQSwECLQAUAAYACAAAACEAmIAhGN8AAAALAQAADwAAAAAAAAAA AAAAAABVBAAAZHJzL2Rvd25yZXYueG1sUEsFBgAAAAAEAAQA8wAAAGEFAAAAAA== " strokecolor="#0f0f23" strokeweight=".5pt">
              <v:stroke startarrow="oval" startarrowwidth="narrow" startarrowlength="short" endarrow="oval" endarrowwidth="narrow" endarrowlength="short" joinstyle="miter"/>
            </v:line>
          </w:pict>
        </mc:Fallback>
      </mc:AlternateContent>
    </w:r>
    <w:r>
      <w:rPr>
        <w:rFonts w:ascii="Arial" w:hAnsi="Arial" w:cs="Arial"/>
        <w:color w:val="00071E"/>
        <w:sz w:val="15"/>
        <w:szCs w:val="14"/>
      </w:rPr>
      <w:tab/>
    </w:r>
    <w:r w:rsidR="0069486A">
      <w:rPr>
        <w:rFonts w:ascii="Arial" w:hAnsi="Arial" w:cs="Arial"/>
        <w:color w:val="00071E"/>
        <w:sz w:val="15"/>
        <w:szCs w:val="14"/>
      </w:rPr>
      <w:t>E-mail</w:t>
    </w:r>
    <w:r w:rsidR="0069486A" w:rsidRPr="006B7C4A">
      <w:rPr>
        <w:rFonts w:ascii="Arial" w:hAnsi="Arial" w:cs="Arial"/>
        <w:color w:val="00071E"/>
        <w:sz w:val="15"/>
        <w:szCs w:val="14"/>
      </w:rPr>
      <w:t xml:space="preserve">: </w:t>
    </w:r>
    <w:r w:rsidR="0069486A" w:rsidRPr="0069486A">
      <w:rPr>
        <w:rFonts w:ascii="Arial" w:hAnsi="Arial" w:cs="Arial"/>
        <w:color w:val="00071E"/>
        <w:sz w:val="15"/>
        <w:szCs w:val="14"/>
      </w:rPr>
      <w:t>office@fortunaeg.nl</w:t>
    </w:r>
    <w:r w:rsidR="0069486A">
      <w:rPr>
        <w:rFonts w:ascii="Arial" w:hAnsi="Arial" w:cs="Arial"/>
        <w:color w:val="00071E"/>
        <w:sz w:val="15"/>
        <w:szCs w:val="14"/>
      </w:rPr>
      <w:br/>
      <w:t>Netherlands</w:t>
    </w:r>
    <w:r>
      <w:rPr>
        <w:rFonts w:ascii="Arial" w:hAnsi="Arial" w:cs="Arial"/>
        <w:color w:val="00071E"/>
        <w:sz w:val="15"/>
        <w:szCs w:val="14"/>
      </w:rPr>
      <w:tab/>
    </w:r>
    <w:r w:rsidRPr="006B7C4A">
      <w:rPr>
        <w:rFonts w:ascii="Arial" w:hAnsi="Arial" w:cs="Arial"/>
        <w:color w:val="00071E"/>
        <w:sz w:val="15"/>
        <w:szCs w:val="14"/>
      </w:rPr>
      <w:t>www.fortunagroup.eu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2C" w:rsidRPr="00E4352C" w:rsidRDefault="00E4352C" w:rsidP="00E4352C">
    <w:pPr>
      <w:pStyle w:val="Normlnweb"/>
      <w:ind w:left="3119"/>
      <w:rPr>
        <w:rFonts w:ascii="Arial" w:hAnsi="Arial" w:cs="Arial"/>
        <w:color w:val="00071E"/>
        <w:sz w:val="14"/>
        <w:szCs w:val="14"/>
      </w:rPr>
    </w:pPr>
    <w:r w:rsidRPr="006B7C4A">
      <w:rPr>
        <w:noProof/>
      </w:rPr>
      <mc:AlternateContent>
        <mc:Choice Requires="wps">
          <w:drawing>
            <wp:anchor distT="0" distB="0" distL="114300" distR="114300" simplePos="0" relativeHeight="251662336" behindDoc="0" locked="0" layoutInCell="1" allowOverlap="1" wp14:anchorId="74DD65C0" wp14:editId="6C9569C3">
              <wp:simplePos x="0" y="0"/>
              <wp:positionH relativeFrom="column">
                <wp:posOffset>-316230</wp:posOffset>
              </wp:positionH>
              <wp:positionV relativeFrom="paragraph">
                <wp:posOffset>365125</wp:posOffset>
              </wp:positionV>
              <wp:extent cx="0" cy="9427210"/>
              <wp:effectExtent l="25400" t="25400" r="38100" b="34290"/>
              <wp:wrapNone/>
              <wp:docPr id="6" name="Přímá spojnice 6"/>
              <wp:cNvGraphicFramePr/>
              <a:graphic xmlns:a="http://schemas.openxmlformats.org/drawingml/2006/main">
                <a:graphicData uri="http://schemas.microsoft.com/office/word/2010/wordprocessingShape">
                  <wps:wsp>
                    <wps:cNvCnPr/>
                    <wps:spPr>
                      <a:xfrm>
                        <a:off x="0" y="0"/>
                        <a:ext cx="0" cy="9427210"/>
                      </a:xfrm>
                      <a:prstGeom prst="line">
                        <a:avLst/>
                      </a:prstGeom>
                      <a:ln>
                        <a:solidFill>
                          <a:srgbClr val="000028"/>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C42B7C" id="Přímá spojnice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pt,28.75pt" to="-24.9pt,771.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3Rf/AEAAFMEAAAOAAAAZHJzL2Uyb0RvYy54bWysVMuO0zAU3SPxD5b3NGmEyhA1ncUMwwZB xeMDXOe6MfJLtmmST2HJB/AVI/6LayfNADPSCEQXru2cc33O8U22l4NW5AQ+SGsaul6VlIDhtpXm 2NBPH2+eXVASIjMtU9ZAQ0cI9HL39Mm2dzVUtrOqBU+wiAl17xraxejqogi8A83Cyjow+FBYr1nE pT8WrWc9VteqqMpyU/TWt85bDiHg7vX0kO5yfSGAx3dCBIhENRS1xTz6PB7SWOy2rD565jrJZxns H1RoJg0eupS6ZpGRL17eK6Ul9zZYEVfc6sIKITlkD+hmXf7h5kPHHGQvGE5wS0zh/5Xlb097T2Tb 0A0lhmm8ov2Pr7ff9e03Epz9bFAf2aSYehdqRF+ZvZ9Xwe198jwIr9M/uiFDjnZcooUhEj5tctx9 +bx6Ua1z7MUd0fkQX4PVJE0aqqRJrlnNTm9CxMMQeoakbWXSGKyS7Y1UKi/88XClPDmxdM/4qy6S ZiT+BuuAta9MS+Lo0KhFNCV9Q4OmRAH2L06QxerIpHoch9WTlCIlM2WRZ3FUMMl8DwKjRffrbCc3 NSwyGedg4nrWqQyiE02gpYVYPk6c8YkKueH/hrww8snWxIWspbH+odPjcJYsJvw5gcl3iuBg2zF3 SY4GOzffxPyWpVfj13Wm330Ldj8BAAD//wMAUEsDBBQABgAIAAAAIQBjz84O4AAAAAsBAAAPAAAA ZHJzL2Rvd25yZXYueG1sTI9NT8MwDIbvSPyHyEjctnRby0dpOqFJHEBoEoMLt7RJ00LjVI23ln+P EQc42n70+nmL7ex7cbJj7AIqWC0TEBbrYDp0Ct5eHxY3ICJpNLoPaBV82Qjb8vys0LkJE77Y04Gc 4BCMuVbQEg25lLFurddxGQaLfGvC6DXxODppRj1xuO/lOkmupNcd8odWD3bX2vrzcPQKmunZNbus 2nwMgZ72G/dOafuo1OXFfH8HguxMfzD86LM6lOxUhSOaKHoFi/SW1UlBdp2BYOB3UTGZpesVyLKQ /zuU3wAAAP//AwBQSwECLQAUAAYACAAAACEAtoM4kv4AAADhAQAAEwAAAAAAAAAAAAAAAAAAAAAA W0NvbnRlbnRfVHlwZXNdLnhtbFBLAQItABQABgAIAAAAIQA4/SH/1gAAAJQBAAALAAAAAAAAAAAA AAAAAC8BAABfcmVscy8ucmVsc1BLAQItABQABgAIAAAAIQBAk3Rf/AEAAFMEAAAOAAAAAAAAAAAA AAAAAC4CAABkcnMvZTJvRG9jLnhtbFBLAQItABQABgAIAAAAIQBjz84O4AAAAAsBAAAPAAAAAAAA AAAAAAAAAFYEAABkcnMvZG93bnJldi54bWxQSwUGAAAAAAQABADzAAAAYwUAAAAA " strokecolor="#000028" strokeweight=".5pt">
              <v:stroke startarrow="oval" startarrowwidth="narrow" startarrowlength="short" endarrow="oval" endarrowwidth="narrow" endarrowlength="short" joinstyle="miter"/>
            </v:line>
          </w:pict>
        </mc:Fallback>
      </mc:AlternateContent>
    </w:r>
    <w:r>
      <w:rPr>
        <w:noProof/>
      </w:rPr>
      <w:drawing>
        <wp:anchor distT="0" distB="0" distL="114300" distR="114300" simplePos="0" relativeHeight="251663360" behindDoc="0" locked="0" layoutInCell="1" allowOverlap="1" wp14:anchorId="40CD53A6" wp14:editId="200EDA67">
          <wp:simplePos x="0" y="0"/>
          <wp:positionH relativeFrom="column">
            <wp:posOffset>33324</wp:posOffset>
          </wp:positionH>
          <wp:positionV relativeFrom="paragraph">
            <wp:posOffset>-71246</wp:posOffset>
          </wp:positionV>
          <wp:extent cx="1590541" cy="799233"/>
          <wp:effectExtent l="0" t="0" r="0" b="1270"/>
          <wp:wrapNone/>
          <wp:docPr id="7" name="Obrázek 7" descr="Obsah obrázku objekt  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G Logo Blue.png"/>
                  <pic:cNvPicPr/>
                </pic:nvPicPr>
                <pic:blipFill>
                  <a:blip r:embed="rId1">
                    <a:extLst>
                      <a:ext uri="{28A0092B-C50C-407E-A947-70E740481C1C}">
                        <a14:useLocalDpi xmlns:a14="http://schemas.microsoft.com/office/drawing/2010/main" val="0"/>
                      </a:ext>
                    </a:extLst>
                  </a:blip>
                  <a:stretch>
                    <a:fillRect/>
                  </a:stretch>
                </pic:blipFill>
                <pic:spPr>
                  <a:xfrm>
                    <a:off x="0" y="0"/>
                    <a:ext cx="1603463" cy="805726"/>
                  </a:xfrm>
                  <a:prstGeom prst="rect">
                    <a:avLst/>
                  </a:prstGeom>
                </pic:spPr>
              </pic:pic>
            </a:graphicData>
          </a:graphic>
          <wp14:sizeRelH relativeFrom="page">
            <wp14:pctWidth>0</wp14:pctWidth>
          </wp14:sizeRelH>
          <wp14:sizeRelV relativeFrom="page">
            <wp14:pctHeight>0</wp14:pctHeight>
          </wp14:sizeRelV>
        </wp:anchor>
      </w:drawing>
    </w:r>
    <w:r w:rsidR="0069486A">
      <w:rPr>
        <w:rFonts w:ascii="Arial" w:hAnsi="Arial" w:cs="Arial"/>
        <w:color w:val="00071E"/>
        <w:sz w:val="14"/>
        <w:szCs w:val="14"/>
      </w:rPr>
      <w:t>FORTUNA ENTERTAINMENT GROUP N.V.</w:t>
    </w:r>
    <w:r w:rsidRPr="006B7C4A">
      <w:rPr>
        <w:rFonts w:ascii="Arial" w:hAnsi="Arial" w:cs="Arial"/>
        <w:color w:val="00071E"/>
        <w:sz w:val="15"/>
        <w:szCs w:val="14"/>
      </w:rPr>
      <w:br/>
    </w:r>
    <w:r w:rsidR="0069486A" w:rsidRPr="0069486A">
      <w:rPr>
        <w:rFonts w:ascii="Arial" w:hAnsi="Arial" w:cs="Arial"/>
        <w:color w:val="00071E"/>
        <w:sz w:val="15"/>
        <w:szCs w:val="14"/>
      </w:rPr>
      <w:t>Strawinskylaan 1223, 1077XX Amsterdam</w:t>
    </w:r>
    <w:r w:rsidR="0069486A">
      <w:rPr>
        <w:rFonts w:ascii="Arial" w:hAnsi="Arial" w:cs="Arial"/>
        <w:color w:val="00071E"/>
        <w:sz w:val="15"/>
        <w:szCs w:val="14"/>
      </w:rPr>
      <w:br/>
      <w:t>Netherlands</w:t>
    </w:r>
    <w:r w:rsidRPr="006B7C4A">
      <w:rPr>
        <w:rFonts w:ascii="Arial" w:hAnsi="Arial" w:cs="Arial"/>
        <w:color w:val="00071E"/>
        <w:sz w:val="15"/>
        <w:szCs w:val="14"/>
      </w:rPr>
      <w:br/>
      <w:t>Phone: +</w:t>
    </w:r>
    <w:r w:rsidR="0069486A" w:rsidRPr="0069486A">
      <w:rPr>
        <w:rFonts w:ascii="Arial" w:hAnsi="Arial" w:cs="Arial"/>
        <w:color w:val="00071E"/>
        <w:sz w:val="15"/>
        <w:szCs w:val="14"/>
      </w:rPr>
      <w:t>31 020 238 0320</w:t>
    </w:r>
    <w:r w:rsidRPr="006B7C4A">
      <w:rPr>
        <w:rFonts w:ascii="Arial" w:hAnsi="Arial" w:cs="Arial"/>
        <w:color w:val="00071E"/>
        <w:sz w:val="15"/>
        <w:szCs w:val="14"/>
      </w:rPr>
      <w:br/>
    </w:r>
    <w:r w:rsidR="0069486A">
      <w:rPr>
        <w:rFonts w:ascii="Arial" w:hAnsi="Arial" w:cs="Arial"/>
        <w:color w:val="00071E"/>
        <w:sz w:val="15"/>
        <w:szCs w:val="14"/>
      </w:rPr>
      <w:t>E-mail</w:t>
    </w:r>
    <w:r w:rsidRPr="006B7C4A">
      <w:rPr>
        <w:rFonts w:ascii="Arial" w:hAnsi="Arial" w:cs="Arial"/>
        <w:color w:val="00071E"/>
        <w:sz w:val="15"/>
        <w:szCs w:val="14"/>
      </w:rPr>
      <w:t xml:space="preserve">: </w:t>
    </w:r>
    <w:r w:rsidR="0069486A" w:rsidRPr="0069486A">
      <w:rPr>
        <w:rFonts w:ascii="Arial" w:hAnsi="Arial" w:cs="Arial"/>
        <w:color w:val="00071E"/>
        <w:sz w:val="15"/>
        <w:szCs w:val="14"/>
      </w:rPr>
      <w:t>office@fortunaeg.nl</w:t>
    </w:r>
    <w:r w:rsidRPr="006B7C4A">
      <w:rPr>
        <w:rFonts w:ascii="Arial" w:hAnsi="Arial" w:cs="Arial"/>
        <w:color w:val="00071E"/>
        <w:sz w:val="15"/>
        <w:szCs w:val="14"/>
      </w:rPr>
      <w:br/>
      <w:t>www.fortunagroup.eu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E1512"/>
    <w:multiLevelType w:val="hybridMultilevel"/>
    <w:tmpl w:val="9E70B460"/>
    <w:lvl w:ilvl="0" w:tplc="64B8650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AF6549"/>
    <w:multiLevelType w:val="hybridMultilevel"/>
    <w:tmpl w:val="48CAD1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5D"/>
    <w:rsid w:val="00050921"/>
    <w:rsid w:val="00054142"/>
    <w:rsid w:val="000B3CBC"/>
    <w:rsid w:val="001A2B89"/>
    <w:rsid w:val="00275878"/>
    <w:rsid w:val="0034688C"/>
    <w:rsid w:val="003A65A6"/>
    <w:rsid w:val="004732BF"/>
    <w:rsid w:val="0048263F"/>
    <w:rsid w:val="004C6583"/>
    <w:rsid w:val="006110AD"/>
    <w:rsid w:val="006217F7"/>
    <w:rsid w:val="0069486A"/>
    <w:rsid w:val="006B7C4A"/>
    <w:rsid w:val="007570E2"/>
    <w:rsid w:val="00791A01"/>
    <w:rsid w:val="00937705"/>
    <w:rsid w:val="00946438"/>
    <w:rsid w:val="00A0080B"/>
    <w:rsid w:val="00A6106B"/>
    <w:rsid w:val="00B50207"/>
    <w:rsid w:val="00BA4771"/>
    <w:rsid w:val="00BB7CC0"/>
    <w:rsid w:val="00C1555D"/>
    <w:rsid w:val="00C920FE"/>
    <w:rsid w:val="00C92902"/>
    <w:rsid w:val="00E417B3"/>
    <w:rsid w:val="00E43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87FBBDA1-4059-405D-945F-FB42AB3C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Základní text"/>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7C4A"/>
    <w:pPr>
      <w:tabs>
        <w:tab w:val="center" w:pos="4536"/>
        <w:tab w:val="right" w:pos="9072"/>
      </w:tabs>
    </w:pPr>
  </w:style>
  <w:style w:type="character" w:customStyle="1" w:styleId="ZhlavChar">
    <w:name w:val="Záhlaví Char"/>
    <w:basedOn w:val="Standardnpsmoodstavce"/>
    <w:link w:val="Zhlav"/>
    <w:uiPriority w:val="99"/>
    <w:rsid w:val="006B7C4A"/>
  </w:style>
  <w:style w:type="paragraph" w:styleId="Zpat">
    <w:name w:val="footer"/>
    <w:basedOn w:val="Normln"/>
    <w:link w:val="ZpatChar"/>
    <w:uiPriority w:val="99"/>
    <w:unhideWhenUsed/>
    <w:rsid w:val="006B7C4A"/>
    <w:pPr>
      <w:tabs>
        <w:tab w:val="center" w:pos="4536"/>
        <w:tab w:val="right" w:pos="9072"/>
      </w:tabs>
    </w:pPr>
  </w:style>
  <w:style w:type="character" w:customStyle="1" w:styleId="ZpatChar">
    <w:name w:val="Zápatí Char"/>
    <w:basedOn w:val="Standardnpsmoodstavce"/>
    <w:link w:val="Zpat"/>
    <w:uiPriority w:val="99"/>
    <w:rsid w:val="006B7C4A"/>
  </w:style>
  <w:style w:type="paragraph" w:styleId="Normlnweb">
    <w:name w:val="Normal (Web)"/>
    <w:basedOn w:val="Normln"/>
    <w:uiPriority w:val="99"/>
    <w:unhideWhenUsed/>
    <w:rsid w:val="006B7C4A"/>
    <w:pPr>
      <w:spacing w:before="100" w:beforeAutospacing="1" w:after="100" w:afterAutospacing="1"/>
    </w:pPr>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E4352C"/>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4352C"/>
    <w:rPr>
      <w:rFonts w:ascii="Times New Roman" w:hAnsi="Times New Roman" w:cs="Times New Roman"/>
      <w:sz w:val="18"/>
      <w:szCs w:val="18"/>
    </w:rPr>
  </w:style>
  <w:style w:type="character" w:styleId="slostrnky">
    <w:name w:val="page number"/>
    <w:basedOn w:val="Standardnpsmoodstavce"/>
    <w:uiPriority w:val="99"/>
    <w:semiHidden/>
    <w:unhideWhenUsed/>
    <w:rsid w:val="00E4352C"/>
  </w:style>
  <w:style w:type="paragraph" w:styleId="Zkladntext">
    <w:name w:val="Body Text"/>
    <w:basedOn w:val="Normln"/>
    <w:link w:val="ZkladntextChar"/>
    <w:rsid w:val="00937705"/>
    <w:pPr>
      <w:spacing w:after="240"/>
      <w:jc w:val="both"/>
    </w:pPr>
    <w:rPr>
      <w:rFonts w:ascii="Times New Roman" w:eastAsia="SimSun" w:hAnsi="Times New Roman" w:cs="Times New Roman"/>
      <w:lang w:val="en-GB" w:eastAsia="en-GB" w:bidi="ar-AE"/>
    </w:rPr>
  </w:style>
  <w:style w:type="character" w:customStyle="1" w:styleId="ZkladntextChar">
    <w:name w:val="Základní text Char"/>
    <w:basedOn w:val="Standardnpsmoodstavce"/>
    <w:link w:val="Zkladntext"/>
    <w:rsid w:val="00937705"/>
    <w:rPr>
      <w:rFonts w:ascii="Times New Roman" w:eastAsia="SimSun" w:hAnsi="Times New Roman" w:cs="Times New Roman"/>
      <w:lang w:val="en-GB" w:eastAsia="en-GB" w:bidi="ar-AE"/>
    </w:rPr>
  </w:style>
  <w:style w:type="paragraph" w:styleId="Odstavecseseznamem">
    <w:name w:val="List Paragraph"/>
    <w:basedOn w:val="Normln"/>
    <w:uiPriority w:val="34"/>
    <w:qFormat/>
    <w:rsid w:val="00937705"/>
    <w:pPr>
      <w:spacing w:after="240"/>
      <w:ind w:left="720"/>
      <w:contextualSpacing/>
      <w:jc w:val="both"/>
    </w:pPr>
    <w:rPr>
      <w:rFonts w:ascii="Times New Roman" w:eastAsia="SimSun" w:hAnsi="Times New Roman" w:cs="Times New Roman"/>
      <w:lang w:val="en-GB" w:eastAsia="zh-CN" w:bidi="ar-AE"/>
    </w:rPr>
  </w:style>
  <w:style w:type="character" w:styleId="Hypertextovodkaz">
    <w:name w:val="Hyperlink"/>
    <w:basedOn w:val="Standardnpsmoodstavce"/>
    <w:uiPriority w:val="99"/>
    <w:unhideWhenUsed/>
    <w:rsid w:val="009377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5076">
      <w:bodyDiv w:val="1"/>
      <w:marLeft w:val="0"/>
      <w:marRight w:val="0"/>
      <w:marTop w:val="0"/>
      <w:marBottom w:val="0"/>
      <w:divBdr>
        <w:top w:val="none" w:sz="0" w:space="0" w:color="auto"/>
        <w:left w:val="none" w:sz="0" w:space="0" w:color="auto"/>
        <w:bottom w:val="none" w:sz="0" w:space="0" w:color="auto"/>
        <w:right w:val="none" w:sz="0" w:space="0" w:color="auto"/>
      </w:divBdr>
      <w:divsChild>
        <w:div w:id="948857723">
          <w:marLeft w:val="0"/>
          <w:marRight w:val="0"/>
          <w:marTop w:val="0"/>
          <w:marBottom w:val="0"/>
          <w:divBdr>
            <w:top w:val="none" w:sz="0" w:space="0" w:color="auto"/>
            <w:left w:val="none" w:sz="0" w:space="0" w:color="auto"/>
            <w:bottom w:val="none" w:sz="0" w:space="0" w:color="auto"/>
            <w:right w:val="none" w:sz="0" w:space="0" w:color="auto"/>
          </w:divBdr>
          <w:divsChild>
            <w:div w:id="2143843484">
              <w:marLeft w:val="0"/>
              <w:marRight w:val="0"/>
              <w:marTop w:val="0"/>
              <w:marBottom w:val="0"/>
              <w:divBdr>
                <w:top w:val="none" w:sz="0" w:space="0" w:color="auto"/>
                <w:left w:val="none" w:sz="0" w:space="0" w:color="auto"/>
                <w:bottom w:val="none" w:sz="0" w:space="0" w:color="auto"/>
                <w:right w:val="none" w:sz="0" w:space="0" w:color="auto"/>
              </w:divBdr>
              <w:divsChild>
                <w:div w:id="14207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ignatiekas@minfi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7253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keywords/>
  <cp:lastModifiedBy>Klára</cp:lastModifiedBy>
  <cp:revision>2</cp:revision>
  <dcterms:created xsi:type="dcterms:W3CDTF">2019-04-15T15:29:00Z</dcterms:created>
  <dcterms:modified xsi:type="dcterms:W3CDTF">2019-04-15T15:29:00Z</dcterms:modified>
</cp:coreProperties>
</file>