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52C" w:rsidRPr="002A4E59" w:rsidRDefault="00E4352C">
      <w:pPr>
        <w:rPr>
          <w:rFonts w:ascii="Times New Roman" w:hAnsi="Times New Roman" w:cs="Times New Roman"/>
        </w:rPr>
      </w:pPr>
    </w:p>
    <w:p w:rsidR="002A4E59" w:rsidRPr="002A4E59" w:rsidRDefault="002A4E59" w:rsidP="002A4E59">
      <w:pPr>
        <w:pStyle w:val="Zkladntext"/>
        <w:jc w:val="center"/>
        <w:rPr>
          <w:b/>
          <w:sz w:val="32"/>
          <w:u w:val="single"/>
          <w:lang w:val="cs-CZ"/>
        </w:rPr>
      </w:pPr>
      <w:bookmarkStart w:id="0" w:name="_Hlk3285025"/>
      <w:r w:rsidRPr="002A4E59">
        <w:rPr>
          <w:b/>
          <w:sz w:val="32"/>
          <w:u w:val="single"/>
          <w:lang w:val="cs-CZ"/>
        </w:rPr>
        <w:t>Aktuální informace o procesu vytěsnění minoritních akcionářů</w:t>
      </w:r>
    </w:p>
    <w:p w:rsidR="002A4E59" w:rsidRPr="002A4E59" w:rsidRDefault="002A4E59" w:rsidP="002A4E59">
      <w:pPr>
        <w:pStyle w:val="Zkladntext"/>
        <w:jc w:val="center"/>
        <w:rPr>
          <w:b/>
          <w:sz w:val="32"/>
          <w:u w:val="single"/>
          <w:lang w:val="cs-CZ"/>
        </w:rPr>
      </w:pPr>
    </w:p>
    <w:p w:rsidR="002A4E59" w:rsidRPr="002A4E59" w:rsidRDefault="002A4E59" w:rsidP="002A4E59">
      <w:pPr>
        <w:pStyle w:val="Zkladntext"/>
        <w:rPr>
          <w:lang w:val="cs-CZ"/>
        </w:rPr>
      </w:pPr>
      <w:r w:rsidRPr="002A4E59">
        <w:rPr>
          <w:lang w:val="cs-CZ"/>
        </w:rPr>
        <w:t xml:space="preserve">V návaznosti na své dřívější oznámení společnost Fortuna Entertainment Group </w:t>
      </w:r>
      <w:proofErr w:type="gramStart"/>
      <w:r w:rsidRPr="002A4E59">
        <w:rPr>
          <w:lang w:val="cs-CZ"/>
        </w:rPr>
        <w:t>N.V.</w:t>
      </w:r>
      <w:proofErr w:type="gramEnd"/>
      <w:r w:rsidRPr="002A4E59">
        <w:rPr>
          <w:lang w:val="cs-CZ"/>
        </w:rPr>
        <w:t xml:space="preserve"> ("</w:t>
      </w:r>
      <w:r w:rsidRPr="002A4E59">
        <w:rPr>
          <w:b/>
          <w:lang w:val="cs-CZ"/>
        </w:rPr>
        <w:t>Fortuna</w:t>
      </w:r>
      <w:r w:rsidRPr="002A4E59">
        <w:rPr>
          <w:lang w:val="cs-CZ"/>
        </w:rPr>
        <w:t xml:space="preserve">") uveřejňuje aktuální informace ohledně jednání s nizozemským úřadem </w:t>
      </w:r>
      <w:proofErr w:type="spellStart"/>
      <w:r w:rsidRPr="002A4E59">
        <w:rPr>
          <w:i/>
          <w:lang w:val="cs-CZ"/>
        </w:rPr>
        <w:t>Consignation</w:t>
      </w:r>
      <w:proofErr w:type="spellEnd"/>
      <w:r w:rsidRPr="002A4E59">
        <w:rPr>
          <w:i/>
          <w:lang w:val="cs-CZ"/>
        </w:rPr>
        <w:t xml:space="preserve"> Office</w:t>
      </w:r>
      <w:r w:rsidRPr="002A4E59">
        <w:rPr>
          <w:lang w:val="cs-CZ"/>
        </w:rPr>
        <w:t xml:space="preserve"> v souvislosti s výplatou protiplnění bývalým akcionářům společnosti Fortuna, jako posledním krokem v procesu vytěsnění zahájeném ze strany společnosti Fortbet </w:t>
      </w:r>
      <w:proofErr w:type="spellStart"/>
      <w:r w:rsidRPr="002A4E59">
        <w:rPr>
          <w:lang w:val="cs-CZ"/>
        </w:rPr>
        <w:t>Holdings</w:t>
      </w:r>
      <w:proofErr w:type="spellEnd"/>
      <w:r w:rsidRPr="002A4E59">
        <w:rPr>
          <w:lang w:val="cs-CZ"/>
        </w:rPr>
        <w:t xml:space="preserve"> Limited ("</w:t>
      </w:r>
      <w:r w:rsidRPr="002A4E59">
        <w:rPr>
          <w:b/>
          <w:bCs/>
          <w:lang w:val="cs-CZ"/>
        </w:rPr>
        <w:t>Fortbet</w:t>
      </w:r>
      <w:r w:rsidRPr="002A4E59">
        <w:rPr>
          <w:lang w:val="cs-CZ"/>
        </w:rPr>
        <w:t xml:space="preserve">"). </w:t>
      </w:r>
    </w:p>
    <w:p w:rsidR="002A4E59" w:rsidRPr="002A4E59" w:rsidRDefault="002A4E59" w:rsidP="002A4E59">
      <w:pPr>
        <w:pStyle w:val="Zkladntext"/>
        <w:rPr>
          <w:b/>
          <w:i/>
          <w:lang w:val="cs-CZ"/>
        </w:rPr>
      </w:pPr>
      <w:r w:rsidRPr="002A4E59">
        <w:rPr>
          <w:b/>
          <w:i/>
          <w:lang w:val="cs-CZ"/>
        </w:rPr>
        <w:t>Nizozemské právní předpisy upravující proces vytěsnění</w:t>
      </w:r>
    </w:p>
    <w:p w:rsidR="002A4E59" w:rsidRPr="002A4E59" w:rsidRDefault="002A4E59" w:rsidP="002A4E59">
      <w:pPr>
        <w:pStyle w:val="Zkladntext"/>
        <w:rPr>
          <w:lang w:val="cs-CZ"/>
        </w:rPr>
      </w:pPr>
      <w:r w:rsidRPr="002A4E59">
        <w:rPr>
          <w:lang w:val="cs-CZ"/>
        </w:rPr>
        <w:t>V souladu s nizozemskými právními předpisy může akcionář, který ve společnosti vlastní podíl ve výši 95% nebo větší, zahájit proces převzetí akcií všech ostatních minoritních akcionářů. Společnost Fortbet zahájila tento proces dne 20. června 2018. Dne 30. října 2018 byl návrh společnosti Fortbet schválen ze strany Obchodní komory, přičemž cena za akcii byla stanovena na 7,83 EUR plus úrok dle nizozemských právních předpisů k 9. březnu 2018 (což ke dni 16. listopadu 2018 představuje dohromady 7,94 EUR za jednu akcii).</w:t>
      </w:r>
    </w:p>
    <w:p w:rsidR="002A4E59" w:rsidRPr="002A4E59" w:rsidRDefault="002A4E59" w:rsidP="002A4E59">
      <w:pPr>
        <w:pStyle w:val="Zkladntext"/>
        <w:rPr>
          <w:lang w:val="cs-CZ"/>
        </w:rPr>
      </w:pPr>
      <w:r w:rsidRPr="002A4E59">
        <w:rPr>
          <w:lang w:val="cs-CZ"/>
        </w:rPr>
        <w:t xml:space="preserve">Dne 19. listopadu 2018 převedla společnost Fortbet částku odpovídající ceně za zbývající počet akcií Fortuna na vázaný účet nizozemského ministerstva financí. Zbývající akcie byly poté v souladu s nizozemskými právními předpisy převedeny na společnost Fortbet, a společnost </w:t>
      </w:r>
      <w:proofErr w:type="spellStart"/>
      <w:r w:rsidRPr="002A4E59">
        <w:rPr>
          <w:lang w:val="cs-CZ"/>
        </w:rPr>
        <w:t>Forbet</w:t>
      </w:r>
      <w:proofErr w:type="spellEnd"/>
      <w:r w:rsidRPr="002A4E59">
        <w:rPr>
          <w:lang w:val="cs-CZ"/>
        </w:rPr>
        <w:t xml:space="preserve"> se tak stala jediným akcionářem společnosti Fortuna. Bývalí akcionáři si od okamžiku složení prostředků na vázaný účet dle předchozí věty mohou podat žádost o výplatu protiplnění za své akcie k nizozemskému úřadu </w:t>
      </w:r>
      <w:proofErr w:type="spellStart"/>
      <w:r w:rsidRPr="002A4E59">
        <w:rPr>
          <w:i/>
          <w:lang w:val="cs-CZ"/>
        </w:rPr>
        <w:t>Consignation</w:t>
      </w:r>
      <w:proofErr w:type="spellEnd"/>
      <w:r w:rsidRPr="002A4E59">
        <w:rPr>
          <w:i/>
          <w:lang w:val="cs-CZ"/>
        </w:rPr>
        <w:t xml:space="preserve"> Office</w:t>
      </w:r>
      <w:r w:rsidRPr="002A4E59">
        <w:rPr>
          <w:lang w:val="cs-CZ"/>
        </w:rPr>
        <w:t xml:space="preserve"> (tzn. 7,94 EUR za jednu původně vlastněnou akcii).</w:t>
      </w:r>
    </w:p>
    <w:p w:rsidR="002A4E59" w:rsidRPr="002A4E59" w:rsidRDefault="002A4E59" w:rsidP="002A4E59">
      <w:pPr>
        <w:pStyle w:val="Zkladntext"/>
        <w:rPr>
          <w:lang w:val="cs-CZ"/>
        </w:rPr>
      </w:pPr>
      <w:r w:rsidRPr="002A4E59">
        <w:rPr>
          <w:lang w:val="cs-CZ"/>
        </w:rPr>
        <w:t xml:space="preserve">Od převedení výše uvedené částky na vázaný účet nemá společnost Fortbet ani společnost Fortuna ve vztahu k bývalým akcionářům žádné další povinnosti (a bývalí akcionáři si mohou kdykoli dle své vůle požádat o výplatu protiplnění přímo u nizozemského </w:t>
      </w:r>
      <w:proofErr w:type="spellStart"/>
      <w:r w:rsidRPr="002A4E59">
        <w:rPr>
          <w:i/>
          <w:lang w:val="cs-CZ"/>
        </w:rPr>
        <w:t>Consignation</w:t>
      </w:r>
      <w:proofErr w:type="spellEnd"/>
      <w:r w:rsidRPr="002A4E59">
        <w:rPr>
          <w:i/>
          <w:lang w:val="cs-CZ"/>
        </w:rPr>
        <w:t xml:space="preserve"> Office</w:t>
      </w:r>
      <w:r w:rsidRPr="002A4E59">
        <w:rPr>
          <w:lang w:val="cs-CZ"/>
        </w:rPr>
        <w:t xml:space="preserve">). Přestože to není její povinností, Fortuna se snaží celý proces výplaty pro bývalé akcionáře </w:t>
      </w:r>
      <w:r w:rsidR="001776B4" w:rsidRPr="002A4E59">
        <w:rPr>
          <w:lang w:val="cs-CZ"/>
        </w:rPr>
        <w:t>usnadnit, a proto</w:t>
      </w:r>
      <w:r w:rsidRPr="002A4E59">
        <w:rPr>
          <w:lang w:val="cs-CZ"/>
        </w:rPr>
        <w:t xml:space="preserve"> jim poskytuje níže uvedené informace.   </w:t>
      </w:r>
    </w:p>
    <w:p w:rsidR="002A4E59" w:rsidRPr="002A4E59" w:rsidRDefault="002A4E59" w:rsidP="002A4E59">
      <w:pPr>
        <w:rPr>
          <w:rFonts w:ascii="Times New Roman" w:hAnsi="Times New Roman" w:cs="Times New Roman"/>
          <w:b/>
          <w:i/>
          <w:lang w:eastAsia="en-GB"/>
        </w:rPr>
      </w:pPr>
      <w:r w:rsidRPr="002A4E59">
        <w:rPr>
          <w:rFonts w:ascii="Times New Roman" w:hAnsi="Times New Roman" w:cs="Times New Roman"/>
          <w:b/>
          <w:i/>
          <w:lang w:eastAsia="en-GB"/>
        </w:rPr>
        <w:t xml:space="preserve">Výplata protiplnění bývalým minoritním akcionářům ze strany </w:t>
      </w:r>
      <w:proofErr w:type="spellStart"/>
      <w:r w:rsidRPr="002A4E59">
        <w:rPr>
          <w:rFonts w:ascii="Times New Roman" w:hAnsi="Times New Roman" w:cs="Times New Roman"/>
          <w:b/>
          <w:i/>
          <w:lang w:eastAsia="en-GB"/>
        </w:rPr>
        <w:t>Consignation</w:t>
      </w:r>
      <w:proofErr w:type="spellEnd"/>
      <w:r w:rsidRPr="002A4E59">
        <w:rPr>
          <w:rFonts w:ascii="Times New Roman" w:hAnsi="Times New Roman" w:cs="Times New Roman"/>
          <w:b/>
          <w:i/>
          <w:lang w:eastAsia="en-GB"/>
        </w:rPr>
        <w:t xml:space="preserve"> Office </w:t>
      </w:r>
    </w:p>
    <w:p w:rsidR="002A4E59" w:rsidRDefault="002A4E59" w:rsidP="002A4E59">
      <w:pPr>
        <w:jc w:val="both"/>
        <w:rPr>
          <w:rFonts w:ascii="Times New Roman" w:hAnsi="Times New Roman" w:cs="Times New Roman"/>
          <w:lang w:eastAsia="en-GB"/>
        </w:rPr>
      </w:pPr>
      <w:r w:rsidRPr="002A4E59">
        <w:rPr>
          <w:rFonts w:ascii="Times New Roman" w:hAnsi="Times New Roman" w:cs="Times New Roman"/>
          <w:lang w:eastAsia="en-GB"/>
        </w:rPr>
        <w:t xml:space="preserve">Za účelem získání protiplnění za své akcie musí každý bývalý akcionář podat žádost o výplatu protiplnění u </w:t>
      </w:r>
      <w:r w:rsidRPr="002A4E59">
        <w:rPr>
          <w:rFonts w:ascii="Times New Roman" w:hAnsi="Times New Roman" w:cs="Times New Roman"/>
        </w:rPr>
        <w:t xml:space="preserve">nizozemského </w:t>
      </w:r>
      <w:proofErr w:type="spellStart"/>
      <w:r w:rsidRPr="002A4E59">
        <w:rPr>
          <w:rFonts w:ascii="Times New Roman" w:hAnsi="Times New Roman" w:cs="Times New Roman"/>
          <w:i/>
        </w:rPr>
        <w:t>Consignation</w:t>
      </w:r>
      <w:proofErr w:type="spellEnd"/>
      <w:r w:rsidRPr="002A4E59">
        <w:rPr>
          <w:rFonts w:ascii="Times New Roman" w:hAnsi="Times New Roman" w:cs="Times New Roman"/>
          <w:i/>
        </w:rPr>
        <w:t xml:space="preserve"> Office</w:t>
      </w:r>
      <w:r w:rsidRPr="002A4E59">
        <w:rPr>
          <w:rFonts w:ascii="Times New Roman" w:hAnsi="Times New Roman" w:cs="Times New Roman"/>
          <w:lang w:eastAsia="en-GB"/>
        </w:rPr>
        <w:t xml:space="preserve">, přičemž je povinen k žádosti přiložit další požadované dokumenty (např. dokumenty k prokázání bývalého vlastnictví akcií, doklad totožnosti apod.). </w:t>
      </w:r>
    </w:p>
    <w:p w:rsidR="002A4E59" w:rsidRPr="002A4E59" w:rsidRDefault="002A4E59" w:rsidP="002A4E59">
      <w:pPr>
        <w:jc w:val="both"/>
        <w:rPr>
          <w:rFonts w:ascii="Times New Roman" w:hAnsi="Times New Roman" w:cs="Times New Roman"/>
          <w:lang w:eastAsia="en-GB"/>
        </w:rPr>
      </w:pPr>
    </w:p>
    <w:p w:rsidR="002A4E59" w:rsidRDefault="002A4E59" w:rsidP="002A4E59">
      <w:pPr>
        <w:jc w:val="both"/>
        <w:rPr>
          <w:rFonts w:ascii="Times New Roman" w:hAnsi="Times New Roman" w:cs="Times New Roman"/>
          <w:lang w:eastAsia="en-GB"/>
        </w:rPr>
      </w:pPr>
      <w:r w:rsidRPr="002A4E59">
        <w:rPr>
          <w:rFonts w:ascii="Times New Roman" w:hAnsi="Times New Roman" w:cs="Times New Roman"/>
          <w:lang w:eastAsia="en-GB"/>
        </w:rPr>
        <w:t>Vzhledem k tomu, že tento proces může být časově i finančně náročný jak pro</w:t>
      </w:r>
      <w:r w:rsidRPr="002A4E59">
        <w:rPr>
          <w:rFonts w:ascii="Times New Roman" w:hAnsi="Times New Roman" w:cs="Times New Roman"/>
        </w:rPr>
        <w:t xml:space="preserve"> nizozemský </w:t>
      </w:r>
      <w:proofErr w:type="spellStart"/>
      <w:r w:rsidRPr="002A4E59">
        <w:rPr>
          <w:rFonts w:ascii="Times New Roman" w:hAnsi="Times New Roman" w:cs="Times New Roman"/>
          <w:i/>
        </w:rPr>
        <w:t>Consignation</w:t>
      </w:r>
      <w:proofErr w:type="spellEnd"/>
      <w:r w:rsidRPr="002A4E59">
        <w:rPr>
          <w:rFonts w:ascii="Times New Roman" w:hAnsi="Times New Roman" w:cs="Times New Roman"/>
          <w:i/>
        </w:rPr>
        <w:t xml:space="preserve"> Office</w:t>
      </w:r>
      <w:r w:rsidRPr="002A4E59">
        <w:rPr>
          <w:rFonts w:ascii="Times New Roman" w:hAnsi="Times New Roman" w:cs="Times New Roman"/>
          <w:lang w:eastAsia="en-GB"/>
        </w:rPr>
        <w:t xml:space="preserve">, tak pro jednotlivé bývalé akcionáře, snažila se společnost Fortuna, s cílem usnadnit výplatu protiplnění, zprostředkovat jednání mezi </w:t>
      </w:r>
      <w:proofErr w:type="spellStart"/>
      <w:r w:rsidRPr="002A4E59">
        <w:rPr>
          <w:rFonts w:ascii="Times New Roman" w:hAnsi="Times New Roman" w:cs="Times New Roman"/>
          <w:i/>
        </w:rPr>
        <w:t>Consignation</w:t>
      </w:r>
      <w:proofErr w:type="spellEnd"/>
      <w:r w:rsidRPr="002A4E59">
        <w:rPr>
          <w:rFonts w:ascii="Times New Roman" w:hAnsi="Times New Roman" w:cs="Times New Roman"/>
          <w:i/>
        </w:rPr>
        <w:t xml:space="preserve"> Office</w:t>
      </w:r>
      <w:r w:rsidRPr="002A4E59">
        <w:rPr>
          <w:rFonts w:ascii="Times New Roman" w:hAnsi="Times New Roman" w:cs="Times New Roman"/>
          <w:lang w:eastAsia="en-GB"/>
        </w:rPr>
        <w:t xml:space="preserve"> a Centrálním depozitářem cenných papírů, a.s. ("</w:t>
      </w:r>
      <w:r w:rsidRPr="002A4E59">
        <w:rPr>
          <w:rFonts w:ascii="Times New Roman" w:hAnsi="Times New Roman" w:cs="Times New Roman"/>
          <w:b/>
          <w:lang w:eastAsia="en-GB"/>
        </w:rPr>
        <w:t>CDCP</w:t>
      </w:r>
      <w:r w:rsidRPr="002A4E59">
        <w:rPr>
          <w:rFonts w:ascii="Times New Roman" w:hAnsi="Times New Roman" w:cs="Times New Roman"/>
          <w:lang w:eastAsia="en-GB"/>
        </w:rPr>
        <w:t>") v Praze o možnosti výplaty celé částky všem účastníkům prostřednictvím CDCP, aby tak účastníci CDCP a/nebo bývalí akcionáři nemuseli podnikat žádné další kroky.</w:t>
      </w:r>
    </w:p>
    <w:p w:rsidR="002A4E59" w:rsidRPr="002A4E59" w:rsidRDefault="002A4E59" w:rsidP="002A4E59">
      <w:pPr>
        <w:jc w:val="both"/>
        <w:rPr>
          <w:rFonts w:ascii="Times New Roman" w:hAnsi="Times New Roman" w:cs="Times New Roman"/>
          <w:lang w:eastAsia="en-GB"/>
        </w:rPr>
      </w:pPr>
    </w:p>
    <w:p w:rsidR="002A4E59" w:rsidRPr="002A4E59" w:rsidRDefault="002A4E59" w:rsidP="002A4E59">
      <w:pPr>
        <w:jc w:val="both"/>
        <w:rPr>
          <w:rFonts w:ascii="Times New Roman" w:hAnsi="Times New Roman" w:cs="Times New Roman"/>
          <w:lang w:eastAsia="en-GB"/>
        </w:rPr>
      </w:pPr>
      <w:r w:rsidRPr="002A4E59">
        <w:rPr>
          <w:rFonts w:ascii="Times New Roman" w:hAnsi="Times New Roman" w:cs="Times New Roman"/>
          <w:lang w:eastAsia="en-GB"/>
        </w:rPr>
        <w:t xml:space="preserve">I přes maximální snahu všech stran zajistit co nejefektivnější proces výplaty protiplnění a související rozsáhlá jednání však strany dospěly k závěru, že tato zamýšlená struktura není bohužel slučitelná s nizozemskými právními předpisy. Jednotliví bývalí akcionáři si proto musejí požádat o výplatu protiplnění u </w:t>
      </w:r>
      <w:r w:rsidRPr="002A4E59">
        <w:rPr>
          <w:rFonts w:ascii="Times New Roman" w:hAnsi="Times New Roman" w:cs="Times New Roman"/>
        </w:rPr>
        <w:t xml:space="preserve">nizozemského </w:t>
      </w:r>
      <w:proofErr w:type="spellStart"/>
      <w:r w:rsidRPr="002A4E59">
        <w:rPr>
          <w:rFonts w:ascii="Times New Roman" w:hAnsi="Times New Roman" w:cs="Times New Roman"/>
          <w:i/>
        </w:rPr>
        <w:t>Consignation</w:t>
      </w:r>
      <w:proofErr w:type="spellEnd"/>
      <w:r w:rsidRPr="002A4E59">
        <w:rPr>
          <w:rFonts w:ascii="Times New Roman" w:hAnsi="Times New Roman" w:cs="Times New Roman"/>
          <w:i/>
        </w:rPr>
        <w:t xml:space="preserve"> Office</w:t>
      </w:r>
      <w:r w:rsidRPr="002A4E59">
        <w:rPr>
          <w:rFonts w:ascii="Times New Roman" w:hAnsi="Times New Roman" w:cs="Times New Roman"/>
          <w:lang w:eastAsia="en-GB"/>
        </w:rPr>
        <w:t xml:space="preserve"> standardní cestou sami. </w:t>
      </w:r>
    </w:p>
    <w:p w:rsidR="002A4E59" w:rsidRPr="002A4E59" w:rsidRDefault="002A4E59" w:rsidP="002A4E59">
      <w:pPr>
        <w:rPr>
          <w:rFonts w:ascii="Times New Roman" w:hAnsi="Times New Roman" w:cs="Times New Roman"/>
          <w:b/>
          <w:i/>
          <w:lang w:eastAsia="en-GB"/>
        </w:rPr>
      </w:pPr>
      <w:r w:rsidRPr="002A4E59">
        <w:rPr>
          <w:rFonts w:ascii="Times New Roman" w:hAnsi="Times New Roman" w:cs="Times New Roman"/>
          <w:b/>
          <w:i/>
          <w:lang w:eastAsia="en-GB"/>
        </w:rPr>
        <w:lastRenderedPageBreak/>
        <w:t xml:space="preserve">Standardní postup pro výplaty ze strany </w:t>
      </w:r>
      <w:proofErr w:type="spellStart"/>
      <w:r w:rsidRPr="002A4E59">
        <w:rPr>
          <w:rFonts w:ascii="Times New Roman" w:hAnsi="Times New Roman" w:cs="Times New Roman"/>
          <w:b/>
          <w:i/>
          <w:lang w:eastAsia="en-GB"/>
        </w:rPr>
        <w:t>Consignation</w:t>
      </w:r>
      <w:proofErr w:type="spellEnd"/>
      <w:r w:rsidRPr="002A4E59">
        <w:rPr>
          <w:rFonts w:ascii="Times New Roman" w:hAnsi="Times New Roman" w:cs="Times New Roman"/>
          <w:b/>
          <w:i/>
          <w:lang w:eastAsia="en-GB"/>
        </w:rPr>
        <w:t xml:space="preserve"> Office</w:t>
      </w:r>
    </w:p>
    <w:p w:rsidR="002A4E59" w:rsidRDefault="002A4E59" w:rsidP="002A4E59">
      <w:pPr>
        <w:jc w:val="both"/>
        <w:rPr>
          <w:rFonts w:ascii="Times New Roman" w:hAnsi="Times New Roman" w:cs="Times New Roman"/>
          <w:lang w:eastAsia="en-GB"/>
        </w:rPr>
      </w:pPr>
      <w:r w:rsidRPr="002A4E59">
        <w:rPr>
          <w:rFonts w:ascii="Times New Roman" w:hAnsi="Times New Roman" w:cs="Times New Roman"/>
          <w:lang w:eastAsia="en-GB"/>
        </w:rPr>
        <w:t xml:space="preserve">Za účelem usnadnění postupu pro podávání žádostí bývalých akcionářů o výplatu protiplnění připravila společnost Fortuna ve spolupráci s </w:t>
      </w:r>
      <w:r w:rsidRPr="002A4E59">
        <w:rPr>
          <w:rFonts w:ascii="Times New Roman" w:hAnsi="Times New Roman" w:cs="Times New Roman"/>
        </w:rPr>
        <w:t xml:space="preserve">nizozemským </w:t>
      </w:r>
      <w:proofErr w:type="spellStart"/>
      <w:r w:rsidRPr="002A4E59">
        <w:rPr>
          <w:rFonts w:ascii="Times New Roman" w:hAnsi="Times New Roman" w:cs="Times New Roman"/>
          <w:i/>
        </w:rPr>
        <w:t>Consignation</w:t>
      </w:r>
      <w:proofErr w:type="spellEnd"/>
      <w:r w:rsidRPr="002A4E59">
        <w:rPr>
          <w:rFonts w:ascii="Times New Roman" w:hAnsi="Times New Roman" w:cs="Times New Roman"/>
          <w:i/>
        </w:rPr>
        <w:t xml:space="preserve"> Office</w:t>
      </w:r>
      <w:r w:rsidRPr="002A4E59">
        <w:rPr>
          <w:rFonts w:ascii="Times New Roman" w:hAnsi="Times New Roman" w:cs="Times New Roman"/>
          <w:lang w:eastAsia="en-GB"/>
        </w:rPr>
        <w:t xml:space="preserve"> standardní formulář žádosti a dále seznam dokumentů, které musejí být </w:t>
      </w:r>
      <w:r w:rsidRPr="002A4E59">
        <w:rPr>
          <w:rFonts w:ascii="Times New Roman" w:hAnsi="Times New Roman" w:cs="Times New Roman"/>
        </w:rPr>
        <w:t xml:space="preserve">nizozemskému </w:t>
      </w:r>
      <w:proofErr w:type="spellStart"/>
      <w:r w:rsidRPr="002A4E59">
        <w:rPr>
          <w:rFonts w:ascii="Times New Roman" w:hAnsi="Times New Roman" w:cs="Times New Roman"/>
          <w:i/>
        </w:rPr>
        <w:t>Consignation</w:t>
      </w:r>
      <w:proofErr w:type="spellEnd"/>
      <w:r w:rsidRPr="002A4E59">
        <w:rPr>
          <w:rFonts w:ascii="Times New Roman" w:hAnsi="Times New Roman" w:cs="Times New Roman"/>
          <w:i/>
        </w:rPr>
        <w:t xml:space="preserve"> Office</w:t>
      </w:r>
      <w:r w:rsidRPr="002A4E59">
        <w:rPr>
          <w:rFonts w:ascii="Times New Roman" w:hAnsi="Times New Roman" w:cs="Times New Roman"/>
          <w:lang w:eastAsia="en-GB"/>
        </w:rPr>
        <w:t xml:space="preserve"> předloženy spolu se žádostí o výplatu protiplnění.</w:t>
      </w:r>
    </w:p>
    <w:p w:rsidR="002A4E59" w:rsidRPr="002A4E59" w:rsidRDefault="002A4E59" w:rsidP="002A4E59">
      <w:pPr>
        <w:rPr>
          <w:rFonts w:ascii="Times New Roman" w:hAnsi="Times New Roman" w:cs="Times New Roman"/>
          <w:lang w:eastAsia="en-GB"/>
        </w:rPr>
      </w:pPr>
    </w:p>
    <w:p w:rsidR="002A4E59" w:rsidRDefault="002A4E59" w:rsidP="002A4E59">
      <w:pPr>
        <w:jc w:val="both"/>
        <w:rPr>
          <w:rFonts w:ascii="Times New Roman" w:hAnsi="Times New Roman" w:cs="Times New Roman"/>
          <w:lang w:eastAsia="en-GB"/>
        </w:rPr>
      </w:pPr>
      <w:r w:rsidRPr="002A4E59">
        <w:rPr>
          <w:rFonts w:ascii="Times New Roman" w:hAnsi="Times New Roman" w:cs="Times New Roman"/>
          <w:lang w:eastAsia="en-GB"/>
        </w:rPr>
        <w:t>Tento standardní formulář žádosti o výplatu protiplnění ("</w:t>
      </w:r>
      <w:r w:rsidRPr="002A4E59">
        <w:rPr>
          <w:rFonts w:ascii="Times New Roman" w:hAnsi="Times New Roman" w:cs="Times New Roman"/>
          <w:b/>
          <w:lang w:eastAsia="en-GB"/>
        </w:rPr>
        <w:t>Formulář žádosti</w:t>
      </w:r>
      <w:r w:rsidRPr="002A4E59">
        <w:rPr>
          <w:rFonts w:ascii="Times New Roman" w:hAnsi="Times New Roman" w:cs="Times New Roman"/>
          <w:lang w:eastAsia="en-GB"/>
        </w:rPr>
        <w:t xml:space="preserve">") a související kontrolní seznam lze stáhnout na níže uvedených stránkách: </w:t>
      </w:r>
    </w:p>
    <w:p w:rsidR="002A4E59" w:rsidRPr="002A4E59" w:rsidRDefault="002A4E59" w:rsidP="002A4E59">
      <w:pPr>
        <w:rPr>
          <w:rFonts w:ascii="Times New Roman" w:hAnsi="Times New Roman" w:cs="Times New Roman"/>
          <w:lang w:eastAsia="en-GB"/>
        </w:rPr>
      </w:pPr>
    </w:p>
    <w:p w:rsidR="002A4E59" w:rsidRPr="002A4E59" w:rsidRDefault="002A4E59" w:rsidP="002A4E59">
      <w:pPr>
        <w:ind w:left="1440" w:firstLine="720"/>
        <w:rPr>
          <w:rFonts w:ascii="Times New Roman" w:hAnsi="Times New Roman" w:cs="Times New Roman"/>
          <w:lang w:eastAsia="en-GB"/>
        </w:rPr>
      </w:pPr>
      <w:r w:rsidRPr="002A4E59">
        <w:rPr>
          <w:rFonts w:ascii="Times New Roman" w:hAnsi="Times New Roman" w:cs="Times New Roman"/>
          <w:color w:val="0070C0"/>
          <w:u w:val="single"/>
          <w:lang w:eastAsia="en-GB"/>
        </w:rPr>
        <w:t>Zde</w:t>
      </w:r>
      <w:r w:rsidRPr="002A4E59">
        <w:rPr>
          <w:rFonts w:ascii="Times New Roman" w:hAnsi="Times New Roman" w:cs="Times New Roman"/>
          <w:color w:val="002060"/>
          <w:lang w:eastAsia="en-GB"/>
        </w:rPr>
        <w:t xml:space="preserve"> </w:t>
      </w:r>
      <w:r w:rsidRPr="002A4E59">
        <w:rPr>
          <w:rFonts w:ascii="Times New Roman" w:hAnsi="Times New Roman" w:cs="Times New Roman"/>
          <w:lang w:eastAsia="en-GB"/>
        </w:rPr>
        <w:t>pro fyzické osoby; a</w:t>
      </w:r>
    </w:p>
    <w:p w:rsidR="002A4E59" w:rsidRDefault="002A4E59" w:rsidP="002A4E59">
      <w:pPr>
        <w:ind w:left="1440" w:firstLine="720"/>
        <w:rPr>
          <w:rFonts w:ascii="Times New Roman" w:hAnsi="Times New Roman" w:cs="Times New Roman"/>
          <w:lang w:eastAsia="en-GB"/>
        </w:rPr>
      </w:pPr>
      <w:r w:rsidRPr="002A4E59">
        <w:rPr>
          <w:rFonts w:ascii="Times New Roman" w:hAnsi="Times New Roman" w:cs="Times New Roman"/>
          <w:color w:val="0070C0"/>
          <w:u w:val="single"/>
          <w:lang w:eastAsia="en-GB"/>
        </w:rPr>
        <w:t>Zde</w:t>
      </w:r>
      <w:r w:rsidRPr="002A4E59">
        <w:rPr>
          <w:rFonts w:ascii="Times New Roman" w:hAnsi="Times New Roman" w:cs="Times New Roman"/>
          <w:color w:val="0070C0"/>
          <w:lang w:eastAsia="en-GB"/>
        </w:rPr>
        <w:t xml:space="preserve"> </w:t>
      </w:r>
      <w:r w:rsidRPr="002A4E59">
        <w:rPr>
          <w:rFonts w:ascii="Times New Roman" w:hAnsi="Times New Roman" w:cs="Times New Roman"/>
          <w:lang w:eastAsia="en-GB"/>
        </w:rPr>
        <w:t xml:space="preserve">pro právnické osoby. </w:t>
      </w:r>
    </w:p>
    <w:p w:rsidR="002A4E59" w:rsidRPr="002A4E59" w:rsidRDefault="002A4E59" w:rsidP="002A4E59">
      <w:pPr>
        <w:ind w:left="1440" w:firstLine="720"/>
        <w:rPr>
          <w:rFonts w:ascii="Times New Roman" w:hAnsi="Times New Roman" w:cs="Times New Roman"/>
          <w:lang w:eastAsia="en-GB"/>
        </w:rPr>
      </w:pPr>
    </w:p>
    <w:p w:rsidR="002A4E59" w:rsidRDefault="002A4E59" w:rsidP="002A4E59">
      <w:pPr>
        <w:jc w:val="both"/>
        <w:rPr>
          <w:rFonts w:ascii="Times New Roman" w:hAnsi="Times New Roman" w:cs="Times New Roman"/>
          <w:lang w:eastAsia="en-GB"/>
        </w:rPr>
      </w:pPr>
      <w:r w:rsidRPr="002A4E59">
        <w:rPr>
          <w:rFonts w:ascii="Times New Roman" w:hAnsi="Times New Roman" w:cs="Times New Roman"/>
          <w:lang w:eastAsia="en-GB"/>
        </w:rPr>
        <w:t>Žádost o výplatu protiplnění musí spolu s vyplněným formulářem obsahovat rovněž níže uvedené dokumenty:</w:t>
      </w:r>
    </w:p>
    <w:p w:rsidR="002A4E59" w:rsidRPr="002A4E59" w:rsidRDefault="002A4E59" w:rsidP="002A4E59">
      <w:pPr>
        <w:rPr>
          <w:rFonts w:ascii="Times New Roman" w:hAnsi="Times New Roman" w:cs="Times New Roman"/>
          <w:lang w:eastAsia="en-GB"/>
        </w:rPr>
      </w:pPr>
    </w:p>
    <w:p w:rsidR="002A4E59" w:rsidRPr="002A4E59" w:rsidRDefault="002A4E59" w:rsidP="002A4E59">
      <w:pPr>
        <w:pStyle w:val="Odstavecseseznamem"/>
        <w:numPr>
          <w:ilvl w:val="0"/>
          <w:numId w:val="1"/>
        </w:numPr>
        <w:spacing w:after="160" w:line="360" w:lineRule="auto"/>
        <w:jc w:val="left"/>
        <w:rPr>
          <w:lang w:val="cs-CZ" w:bidi="ar-SA"/>
        </w:rPr>
      </w:pPr>
      <w:r w:rsidRPr="002A4E59">
        <w:rPr>
          <w:lang w:val="cs-CZ"/>
        </w:rPr>
        <w:t>formulář žádosti: 3 strany;</w:t>
      </w:r>
    </w:p>
    <w:p w:rsidR="002A4E59" w:rsidRPr="002A4E59" w:rsidRDefault="002A4E59" w:rsidP="002A4E59">
      <w:pPr>
        <w:pStyle w:val="Odstavecseseznamem"/>
        <w:numPr>
          <w:ilvl w:val="0"/>
          <w:numId w:val="1"/>
        </w:numPr>
        <w:spacing w:after="160" w:line="360" w:lineRule="auto"/>
        <w:jc w:val="left"/>
        <w:rPr>
          <w:lang w:val="cs-CZ"/>
        </w:rPr>
      </w:pPr>
      <w:r w:rsidRPr="002A4E59">
        <w:rPr>
          <w:lang w:val="cs-CZ"/>
        </w:rPr>
        <w:t>naskenovanou kopii platného průkazu totožnosti s fotografií; a</w:t>
      </w:r>
    </w:p>
    <w:p w:rsidR="002A4E59" w:rsidRPr="002A4E59" w:rsidRDefault="002A4E59" w:rsidP="002A4E59">
      <w:pPr>
        <w:pStyle w:val="Odstavecseseznamem"/>
        <w:numPr>
          <w:ilvl w:val="0"/>
          <w:numId w:val="1"/>
        </w:numPr>
        <w:spacing w:after="160" w:line="360" w:lineRule="auto"/>
        <w:rPr>
          <w:lang w:val="cs-CZ"/>
        </w:rPr>
      </w:pPr>
      <w:r w:rsidRPr="002A4E59">
        <w:rPr>
          <w:lang w:val="cs-CZ"/>
        </w:rPr>
        <w:t xml:space="preserve">výpis z účtu vlastníka vydaný CDCP nebo Účastníkem k datu 19. listopadu 2018, obsahující (alespoň) počet akcií a identifikační číslo klienta. </w:t>
      </w:r>
    </w:p>
    <w:p w:rsidR="002A4E59" w:rsidRPr="002A4E59" w:rsidRDefault="002A4E59" w:rsidP="002A4E59">
      <w:pPr>
        <w:spacing w:after="160" w:line="360" w:lineRule="auto"/>
        <w:jc w:val="both"/>
        <w:rPr>
          <w:rFonts w:ascii="Times New Roman" w:hAnsi="Times New Roman" w:cs="Times New Roman"/>
        </w:rPr>
      </w:pPr>
      <w:r w:rsidRPr="002A4E59">
        <w:rPr>
          <w:rFonts w:ascii="Times New Roman" w:hAnsi="Times New Roman" w:cs="Times New Roman"/>
        </w:rPr>
        <w:t xml:space="preserve">V případě, že je žadatel </w:t>
      </w:r>
      <w:r w:rsidRPr="002A4E59">
        <w:rPr>
          <w:rFonts w:ascii="Times New Roman" w:hAnsi="Times New Roman" w:cs="Times New Roman"/>
          <w:b/>
        </w:rPr>
        <w:t>právnickou osobou</w:t>
      </w:r>
      <w:r w:rsidRPr="002A4E59">
        <w:rPr>
          <w:rFonts w:ascii="Times New Roman" w:hAnsi="Times New Roman" w:cs="Times New Roman"/>
        </w:rPr>
        <w:t xml:space="preserve">, musejí být dále předloženy následující dokumenty: </w:t>
      </w:r>
    </w:p>
    <w:p w:rsidR="002A4E59" w:rsidRPr="002A4E59" w:rsidRDefault="002A4E59" w:rsidP="002A4E59">
      <w:pPr>
        <w:pStyle w:val="Odstavecseseznamem"/>
        <w:numPr>
          <w:ilvl w:val="1"/>
          <w:numId w:val="1"/>
        </w:numPr>
        <w:spacing w:after="160" w:line="360" w:lineRule="auto"/>
        <w:jc w:val="left"/>
        <w:rPr>
          <w:lang w:val="cs-CZ"/>
        </w:rPr>
      </w:pPr>
      <w:r w:rsidRPr="002A4E59">
        <w:rPr>
          <w:lang w:val="cs-CZ"/>
        </w:rPr>
        <w:t xml:space="preserve">výpis z obchodního rejstříku právnické osoby, která žádá o výplatu; a </w:t>
      </w:r>
    </w:p>
    <w:p w:rsidR="002A4E59" w:rsidRPr="002A4E59" w:rsidRDefault="002A4E59" w:rsidP="002A4E59">
      <w:pPr>
        <w:pStyle w:val="Odstavecseseznamem"/>
        <w:numPr>
          <w:ilvl w:val="1"/>
          <w:numId w:val="1"/>
        </w:numPr>
        <w:spacing w:after="160" w:line="360" w:lineRule="auto"/>
        <w:jc w:val="left"/>
        <w:rPr>
          <w:lang w:val="cs-CZ"/>
        </w:rPr>
      </w:pPr>
      <w:r w:rsidRPr="002A4E59">
        <w:rPr>
          <w:lang w:val="cs-CZ"/>
        </w:rPr>
        <w:t>úředně ověřená kopie výpisu z obchodního nebo jiného rejstříku či rozhodnutí příslušného orgánu společnosti, ze kterých je patrné oprávnění příslušné osoby jednat za právnickou osobu.</w:t>
      </w:r>
    </w:p>
    <w:bookmarkEnd w:id="0"/>
    <w:p w:rsidR="002A4E59" w:rsidRDefault="002A4E59" w:rsidP="002A4E59">
      <w:pPr>
        <w:jc w:val="both"/>
        <w:rPr>
          <w:rFonts w:ascii="Times New Roman" w:hAnsi="Times New Roman" w:cs="Times New Roman"/>
        </w:rPr>
      </w:pPr>
      <w:r w:rsidRPr="002A4E59">
        <w:rPr>
          <w:rFonts w:ascii="Times New Roman" w:hAnsi="Times New Roman" w:cs="Times New Roman"/>
        </w:rPr>
        <w:t xml:space="preserve">Formulář žádosti a dokumenty mohou být naskenovány a zaslány na následující adresu </w:t>
      </w:r>
      <w:proofErr w:type="spellStart"/>
      <w:r w:rsidRPr="002A4E59">
        <w:rPr>
          <w:rFonts w:ascii="Times New Roman" w:hAnsi="Times New Roman" w:cs="Times New Roman"/>
          <w:i/>
        </w:rPr>
        <w:t>Consignation</w:t>
      </w:r>
      <w:proofErr w:type="spellEnd"/>
      <w:r w:rsidRPr="002A4E59">
        <w:rPr>
          <w:rFonts w:ascii="Times New Roman" w:hAnsi="Times New Roman" w:cs="Times New Roman"/>
          <w:i/>
        </w:rPr>
        <w:t xml:space="preserve"> Office</w:t>
      </w:r>
      <w:r w:rsidRPr="002A4E59">
        <w:rPr>
          <w:rFonts w:ascii="Times New Roman" w:hAnsi="Times New Roman" w:cs="Times New Roman"/>
        </w:rPr>
        <w:t>:</w:t>
      </w:r>
    </w:p>
    <w:p w:rsidR="002A4E59" w:rsidRPr="002A4E59" w:rsidRDefault="002A4E59" w:rsidP="002A4E59">
      <w:pPr>
        <w:rPr>
          <w:rFonts w:ascii="Times New Roman" w:hAnsi="Times New Roman" w:cs="Times New Roman"/>
        </w:rPr>
      </w:pPr>
    </w:p>
    <w:p w:rsidR="002A4E59" w:rsidRPr="002A4E59" w:rsidRDefault="002A4E59" w:rsidP="002A4E59">
      <w:pPr>
        <w:pStyle w:val="Odstavecseseznamem"/>
        <w:numPr>
          <w:ilvl w:val="0"/>
          <w:numId w:val="2"/>
        </w:numPr>
        <w:spacing w:line="360" w:lineRule="auto"/>
        <w:rPr>
          <w:color w:val="0070C0"/>
          <w:lang w:val="cs-CZ"/>
        </w:rPr>
      </w:pPr>
      <w:r w:rsidRPr="002A4E59">
        <w:rPr>
          <w:lang w:val="cs-CZ"/>
        </w:rPr>
        <w:t>emailem ve formátu PDF:</w:t>
      </w:r>
      <w:r w:rsidRPr="002A4E59">
        <w:rPr>
          <w:lang w:val="cs-CZ"/>
        </w:rPr>
        <w:tab/>
      </w:r>
      <w:hyperlink r:id="rId7" w:history="1">
        <w:r w:rsidRPr="002A4E59">
          <w:rPr>
            <w:rStyle w:val="Hypertextovodkaz"/>
            <w:color w:val="0070C0"/>
            <w:lang w:val="cs-CZ"/>
          </w:rPr>
          <w:t>Consignatiekas@minfin.nl</w:t>
        </w:r>
      </w:hyperlink>
    </w:p>
    <w:p w:rsidR="002A4E59" w:rsidRPr="002A4E59" w:rsidRDefault="002A4E59" w:rsidP="002A4E59">
      <w:pPr>
        <w:pStyle w:val="Odstavecseseznamem"/>
        <w:numPr>
          <w:ilvl w:val="0"/>
          <w:numId w:val="2"/>
        </w:numPr>
        <w:spacing w:after="0"/>
        <w:rPr>
          <w:lang w:val="cs-CZ"/>
        </w:rPr>
      </w:pPr>
      <w:r w:rsidRPr="002A4E59">
        <w:rPr>
          <w:lang w:val="cs-CZ"/>
        </w:rPr>
        <w:t>poštou v tištěné formě:</w:t>
      </w:r>
      <w:r w:rsidRPr="002A4E59">
        <w:rPr>
          <w:lang w:val="cs-CZ"/>
        </w:rPr>
        <w:tab/>
      </w:r>
      <w:proofErr w:type="spellStart"/>
      <w:r w:rsidRPr="002A4E59">
        <w:rPr>
          <w:lang w:val="cs-CZ"/>
        </w:rPr>
        <w:t>Dutch</w:t>
      </w:r>
      <w:proofErr w:type="spellEnd"/>
      <w:r w:rsidRPr="002A4E59">
        <w:rPr>
          <w:lang w:val="cs-CZ"/>
        </w:rPr>
        <w:t xml:space="preserve"> Ministry </w:t>
      </w:r>
      <w:proofErr w:type="spellStart"/>
      <w:r w:rsidRPr="002A4E59">
        <w:rPr>
          <w:lang w:val="cs-CZ"/>
        </w:rPr>
        <w:t>of</w:t>
      </w:r>
      <w:proofErr w:type="spellEnd"/>
      <w:r w:rsidRPr="002A4E59">
        <w:rPr>
          <w:lang w:val="cs-CZ"/>
        </w:rPr>
        <w:t xml:space="preserve"> Finance</w:t>
      </w:r>
    </w:p>
    <w:p w:rsidR="002A4E59" w:rsidRPr="002A4E59" w:rsidRDefault="002A4E59" w:rsidP="002A4E59">
      <w:pPr>
        <w:ind w:left="2880" w:firstLine="664"/>
        <w:rPr>
          <w:rStyle w:val="Hypertextovodkaz"/>
          <w:rFonts w:ascii="Times New Roman" w:hAnsi="Times New Roman" w:cs="Times New Roman"/>
          <w:color w:val="auto"/>
        </w:rPr>
      </w:pPr>
      <w:proofErr w:type="spellStart"/>
      <w:r w:rsidRPr="002A4E59">
        <w:rPr>
          <w:rStyle w:val="Hypertextovodkaz"/>
          <w:rFonts w:ascii="Times New Roman" w:hAnsi="Times New Roman" w:cs="Times New Roman"/>
          <w:color w:val="auto"/>
        </w:rPr>
        <w:t>Attn</w:t>
      </w:r>
      <w:proofErr w:type="spellEnd"/>
      <w:r w:rsidRPr="002A4E59">
        <w:rPr>
          <w:rStyle w:val="Hypertextovodkaz"/>
          <w:rFonts w:ascii="Times New Roman" w:hAnsi="Times New Roman" w:cs="Times New Roman"/>
          <w:color w:val="auto"/>
        </w:rPr>
        <w:t xml:space="preserve">. </w:t>
      </w:r>
      <w:proofErr w:type="spellStart"/>
      <w:r w:rsidRPr="002A4E59">
        <w:rPr>
          <w:rStyle w:val="Hypertextovodkaz"/>
          <w:rFonts w:ascii="Times New Roman" w:hAnsi="Times New Roman" w:cs="Times New Roman"/>
          <w:color w:val="auto"/>
        </w:rPr>
        <w:t>The</w:t>
      </w:r>
      <w:proofErr w:type="spellEnd"/>
      <w:r w:rsidRPr="002A4E59">
        <w:rPr>
          <w:rStyle w:val="Hypertextovodkaz"/>
          <w:rFonts w:ascii="Times New Roman" w:hAnsi="Times New Roman" w:cs="Times New Roman"/>
          <w:color w:val="auto"/>
        </w:rPr>
        <w:t xml:space="preserve"> </w:t>
      </w:r>
      <w:proofErr w:type="spellStart"/>
      <w:r w:rsidRPr="002A4E59">
        <w:rPr>
          <w:rStyle w:val="Hypertextovodkaz"/>
          <w:rFonts w:ascii="Times New Roman" w:hAnsi="Times New Roman" w:cs="Times New Roman"/>
          <w:color w:val="auto"/>
        </w:rPr>
        <w:t>Consignation</w:t>
      </w:r>
      <w:proofErr w:type="spellEnd"/>
      <w:r w:rsidRPr="002A4E59">
        <w:rPr>
          <w:rStyle w:val="Hypertextovodkaz"/>
          <w:rFonts w:ascii="Times New Roman" w:hAnsi="Times New Roman" w:cs="Times New Roman"/>
          <w:color w:val="auto"/>
        </w:rPr>
        <w:t xml:space="preserve"> Office</w:t>
      </w:r>
    </w:p>
    <w:p w:rsidR="002A4E59" w:rsidRPr="002A4E59" w:rsidRDefault="002A4E59" w:rsidP="002A4E59">
      <w:pPr>
        <w:ind w:left="2880" w:firstLine="664"/>
        <w:rPr>
          <w:rStyle w:val="Hypertextovodkaz"/>
          <w:rFonts w:ascii="Times New Roman" w:hAnsi="Times New Roman" w:cs="Times New Roman"/>
          <w:color w:val="auto"/>
        </w:rPr>
      </w:pPr>
      <w:r w:rsidRPr="002A4E59">
        <w:rPr>
          <w:rStyle w:val="Hypertextovodkaz"/>
          <w:rFonts w:ascii="Times New Roman" w:hAnsi="Times New Roman" w:cs="Times New Roman"/>
          <w:color w:val="auto"/>
        </w:rPr>
        <w:t>PO box 20201</w:t>
      </w:r>
    </w:p>
    <w:p w:rsidR="002A4E59" w:rsidRPr="002A4E59" w:rsidRDefault="002A4E59" w:rsidP="002A4E59">
      <w:pPr>
        <w:ind w:left="2880" w:firstLine="664"/>
        <w:rPr>
          <w:rStyle w:val="Hypertextovodkaz"/>
          <w:rFonts w:ascii="Times New Roman" w:hAnsi="Times New Roman" w:cs="Times New Roman"/>
          <w:color w:val="auto"/>
        </w:rPr>
      </w:pPr>
      <w:r w:rsidRPr="002A4E59">
        <w:rPr>
          <w:rStyle w:val="Hypertextovodkaz"/>
          <w:rFonts w:ascii="Times New Roman" w:hAnsi="Times New Roman" w:cs="Times New Roman"/>
          <w:color w:val="auto"/>
        </w:rPr>
        <w:t xml:space="preserve">2500 EE </w:t>
      </w:r>
      <w:proofErr w:type="spellStart"/>
      <w:r w:rsidRPr="002A4E59">
        <w:rPr>
          <w:rStyle w:val="Hypertextovodkaz"/>
          <w:rFonts w:ascii="Times New Roman" w:hAnsi="Times New Roman" w:cs="Times New Roman"/>
          <w:color w:val="auto"/>
        </w:rPr>
        <w:t>The</w:t>
      </w:r>
      <w:proofErr w:type="spellEnd"/>
      <w:r w:rsidRPr="002A4E59">
        <w:rPr>
          <w:rStyle w:val="Hypertextovodkaz"/>
          <w:rFonts w:ascii="Times New Roman" w:hAnsi="Times New Roman" w:cs="Times New Roman"/>
          <w:color w:val="auto"/>
        </w:rPr>
        <w:t xml:space="preserve"> </w:t>
      </w:r>
      <w:proofErr w:type="spellStart"/>
      <w:r w:rsidRPr="002A4E59">
        <w:rPr>
          <w:rStyle w:val="Hypertextovodkaz"/>
          <w:rFonts w:ascii="Times New Roman" w:hAnsi="Times New Roman" w:cs="Times New Roman"/>
          <w:color w:val="auto"/>
        </w:rPr>
        <w:t>Hague</w:t>
      </w:r>
      <w:proofErr w:type="spellEnd"/>
      <w:r w:rsidRPr="002A4E59">
        <w:rPr>
          <w:rStyle w:val="Hypertextovodkaz"/>
          <w:rFonts w:ascii="Times New Roman" w:hAnsi="Times New Roman" w:cs="Times New Roman"/>
          <w:color w:val="auto"/>
        </w:rPr>
        <w:t xml:space="preserve"> </w:t>
      </w:r>
    </w:p>
    <w:p w:rsidR="002A4E59" w:rsidRPr="002A4E59" w:rsidRDefault="002A4E59" w:rsidP="002A4E59">
      <w:pPr>
        <w:ind w:left="2880" w:firstLine="664"/>
        <w:rPr>
          <w:rStyle w:val="Hypertextovodkaz"/>
          <w:rFonts w:ascii="Times New Roman" w:hAnsi="Times New Roman" w:cs="Times New Roman"/>
          <w:color w:val="auto"/>
        </w:rPr>
      </w:pPr>
      <w:proofErr w:type="spellStart"/>
      <w:r w:rsidRPr="002A4E59">
        <w:rPr>
          <w:rStyle w:val="Hypertextovodkaz"/>
          <w:rFonts w:ascii="Times New Roman" w:hAnsi="Times New Roman" w:cs="Times New Roman"/>
          <w:color w:val="auto"/>
        </w:rPr>
        <w:t>The</w:t>
      </w:r>
      <w:proofErr w:type="spellEnd"/>
      <w:r w:rsidRPr="002A4E59">
        <w:rPr>
          <w:rStyle w:val="Hypertextovodkaz"/>
          <w:rFonts w:ascii="Times New Roman" w:hAnsi="Times New Roman" w:cs="Times New Roman"/>
          <w:color w:val="auto"/>
        </w:rPr>
        <w:t xml:space="preserve"> </w:t>
      </w:r>
      <w:proofErr w:type="spellStart"/>
      <w:r w:rsidRPr="002A4E59">
        <w:rPr>
          <w:rStyle w:val="Hypertextovodkaz"/>
          <w:rFonts w:ascii="Times New Roman" w:hAnsi="Times New Roman" w:cs="Times New Roman"/>
          <w:color w:val="auto"/>
        </w:rPr>
        <w:t>Netherlands</w:t>
      </w:r>
      <w:proofErr w:type="spellEnd"/>
    </w:p>
    <w:p w:rsidR="002A4E59" w:rsidRPr="002A4E59" w:rsidRDefault="002A4E59" w:rsidP="002A4E59">
      <w:pPr>
        <w:pStyle w:val="Zkladntext"/>
        <w:rPr>
          <w:lang w:val="cs-CZ"/>
        </w:rPr>
      </w:pPr>
      <w:r w:rsidRPr="002A4E59">
        <w:rPr>
          <w:lang w:val="cs-CZ"/>
        </w:rPr>
        <w:br/>
        <w:t xml:space="preserve">Chtěli bychom upozornit, že řízení u </w:t>
      </w:r>
      <w:proofErr w:type="spellStart"/>
      <w:r w:rsidRPr="002A4E59">
        <w:rPr>
          <w:i/>
          <w:lang w:val="cs-CZ"/>
        </w:rPr>
        <w:t>Consignation</w:t>
      </w:r>
      <w:proofErr w:type="spellEnd"/>
      <w:r w:rsidRPr="002A4E59">
        <w:rPr>
          <w:i/>
          <w:lang w:val="cs-CZ"/>
        </w:rPr>
        <w:t xml:space="preserve"> Office</w:t>
      </w:r>
      <w:r w:rsidRPr="002A4E59">
        <w:rPr>
          <w:lang w:val="cs-CZ"/>
        </w:rPr>
        <w:t xml:space="preserve"> se řídí nizozemským právem, a nespadá proto pod kontrolu společnosti Fortuna ani do oblasti její odpovědnosti. Výše uvedené informace (včetně informací v části "Časté dotazy") společnost Fortuna získala k datu této tiskové zprávy na základě vynaložení maximálního možného úsilí, přičemž tyto informace by neměly být vykládány, chápány ani uplatňovány jako právní rady nebo právní stanovisko. Každý bývalý akcionář by měl v případě potřeby požádat o nezávislé právní poradenství nebo si výše uvedené informace ověřit. </w:t>
      </w:r>
    </w:p>
    <w:p w:rsidR="002A4E59" w:rsidRPr="002A4E59" w:rsidRDefault="002A4E59" w:rsidP="002A4E59">
      <w:pPr>
        <w:pStyle w:val="Zkladntext"/>
        <w:rPr>
          <w:lang w:val="cs-CZ"/>
        </w:rPr>
      </w:pPr>
      <w:r w:rsidRPr="002A4E59">
        <w:rPr>
          <w:lang w:val="cs-CZ"/>
        </w:rPr>
        <w:t xml:space="preserve">Dále bychom Vás chtěli upozornit, že společnost Fortuna není s nizozemským </w:t>
      </w:r>
      <w:proofErr w:type="spellStart"/>
      <w:r w:rsidRPr="002A4E59">
        <w:rPr>
          <w:i/>
          <w:lang w:val="cs-CZ"/>
        </w:rPr>
        <w:t>Consignation</w:t>
      </w:r>
      <w:proofErr w:type="spellEnd"/>
      <w:r w:rsidRPr="002A4E59">
        <w:rPr>
          <w:i/>
          <w:lang w:val="cs-CZ"/>
        </w:rPr>
        <w:t xml:space="preserve"> Office</w:t>
      </w:r>
      <w:r w:rsidRPr="002A4E59">
        <w:rPr>
          <w:lang w:val="cs-CZ"/>
        </w:rPr>
        <w:t xml:space="preserve"> v přímém kontaktu, ani nemůže proces vyřizování jednotlivých žádostí nijak urychlit. Zaměstnanci a </w:t>
      </w:r>
      <w:r w:rsidRPr="002A4E59">
        <w:rPr>
          <w:lang w:val="cs-CZ"/>
        </w:rPr>
        <w:lastRenderedPageBreak/>
        <w:t>zástupci společnosti Fortuna proto nemohou bývalým akcionářům poskytnout více informací, než je uvedeno v tomto vyjádření. CDCP také již není do tohoto procesu zapojen, a nemůže proto bývalým akcionářům poskytnout žádné další informace.</w:t>
      </w:r>
    </w:p>
    <w:p w:rsidR="002A4E59" w:rsidRPr="002A4E59" w:rsidRDefault="002A4E59" w:rsidP="002A4E59">
      <w:pPr>
        <w:pStyle w:val="Zkladntext"/>
        <w:rPr>
          <w:b/>
          <w:lang w:val="cs-CZ"/>
        </w:rPr>
      </w:pPr>
      <w:r w:rsidRPr="002A4E59">
        <w:rPr>
          <w:b/>
          <w:lang w:val="cs-CZ"/>
        </w:rPr>
        <w:t>ČASTÉ DOTAZY</w:t>
      </w:r>
    </w:p>
    <w:p w:rsidR="002A4E59" w:rsidRPr="002A4E59" w:rsidRDefault="002A4E59" w:rsidP="002A4E59">
      <w:pPr>
        <w:pStyle w:val="Zkladntext"/>
        <w:rPr>
          <w:lang w:val="cs-CZ"/>
        </w:rPr>
      </w:pPr>
      <w:r w:rsidRPr="002A4E59">
        <w:rPr>
          <w:lang w:val="cs-CZ"/>
        </w:rPr>
        <w:t xml:space="preserve">Otázka: Je částka, která má být vyplacena ze strany </w:t>
      </w:r>
      <w:proofErr w:type="spellStart"/>
      <w:r w:rsidRPr="002A4E59">
        <w:rPr>
          <w:i/>
          <w:lang w:val="cs-CZ"/>
        </w:rPr>
        <w:t>Consignation</w:t>
      </w:r>
      <w:proofErr w:type="spellEnd"/>
      <w:r w:rsidRPr="002A4E59">
        <w:rPr>
          <w:i/>
          <w:lang w:val="cs-CZ"/>
        </w:rPr>
        <w:t xml:space="preserve"> Office</w:t>
      </w:r>
      <w:r w:rsidRPr="002A4E59">
        <w:rPr>
          <w:lang w:val="cs-CZ"/>
        </w:rPr>
        <w:t xml:space="preserve">, úročena? </w:t>
      </w:r>
    </w:p>
    <w:p w:rsidR="002A4E59" w:rsidRPr="002A4E59" w:rsidRDefault="002A4E59" w:rsidP="002A4E59">
      <w:pPr>
        <w:pStyle w:val="Zkladntext"/>
        <w:rPr>
          <w:b/>
          <w:lang w:val="cs-CZ"/>
        </w:rPr>
      </w:pPr>
      <w:r w:rsidRPr="002A4E59">
        <w:rPr>
          <w:b/>
          <w:lang w:val="cs-CZ"/>
        </w:rPr>
        <w:t>Odpověď: Podle zákona o úschově finančních prostředků budou úročeny pouze částky vyšší než 45,38 EUR (včetně).</w:t>
      </w:r>
    </w:p>
    <w:p w:rsidR="002A4E59" w:rsidRPr="002A4E59" w:rsidRDefault="002A4E59" w:rsidP="002A4E59">
      <w:pPr>
        <w:pStyle w:val="Zkladntext"/>
        <w:rPr>
          <w:lang w:val="cs-CZ"/>
        </w:rPr>
      </w:pPr>
      <w:r w:rsidRPr="002A4E59">
        <w:rPr>
          <w:lang w:val="cs-CZ"/>
        </w:rPr>
        <w:t xml:space="preserve">Otázka: Nahradí nizozemský </w:t>
      </w:r>
      <w:proofErr w:type="spellStart"/>
      <w:r w:rsidRPr="002A4E59">
        <w:rPr>
          <w:i/>
          <w:lang w:val="cs-CZ"/>
        </w:rPr>
        <w:t>Consignation</w:t>
      </w:r>
      <w:proofErr w:type="spellEnd"/>
      <w:r w:rsidRPr="002A4E59">
        <w:rPr>
          <w:i/>
          <w:lang w:val="cs-CZ"/>
        </w:rPr>
        <w:t xml:space="preserve"> Office</w:t>
      </w:r>
      <w:r w:rsidRPr="002A4E59">
        <w:rPr>
          <w:lang w:val="cs-CZ"/>
        </w:rPr>
        <w:t xml:space="preserve"> bývalým akcionářům náklady spojené s transakčními poplatky (např. bankovní poplatky)? </w:t>
      </w:r>
    </w:p>
    <w:p w:rsidR="002A4E59" w:rsidRPr="002A4E59" w:rsidRDefault="002A4E59" w:rsidP="002A4E59">
      <w:pPr>
        <w:pStyle w:val="Zkladntext"/>
        <w:rPr>
          <w:b/>
          <w:lang w:val="cs-CZ"/>
        </w:rPr>
      </w:pPr>
      <w:r w:rsidRPr="002A4E59">
        <w:rPr>
          <w:b/>
          <w:lang w:val="cs-CZ"/>
        </w:rPr>
        <w:t xml:space="preserve">Odpověď: V souladu s nizozemským právem není </w:t>
      </w:r>
      <w:proofErr w:type="spellStart"/>
      <w:r w:rsidRPr="002A4E59">
        <w:rPr>
          <w:b/>
          <w:i/>
          <w:lang w:val="cs-CZ"/>
        </w:rPr>
        <w:t>Consignation</w:t>
      </w:r>
      <w:proofErr w:type="spellEnd"/>
      <w:r w:rsidRPr="002A4E59">
        <w:rPr>
          <w:b/>
          <w:i/>
          <w:lang w:val="cs-CZ"/>
        </w:rPr>
        <w:t xml:space="preserve"> Office</w:t>
      </w:r>
      <w:r w:rsidRPr="002A4E59">
        <w:rPr>
          <w:b/>
          <w:lang w:val="cs-CZ"/>
        </w:rPr>
        <w:t xml:space="preserve"> povinen proplácet žádné transakční poplatky.</w:t>
      </w:r>
    </w:p>
    <w:p w:rsidR="002A4E59" w:rsidRPr="002A4E59" w:rsidRDefault="002A4E59" w:rsidP="002A4E59">
      <w:pPr>
        <w:pStyle w:val="Zkladntext"/>
        <w:rPr>
          <w:lang w:val="cs-CZ"/>
        </w:rPr>
      </w:pPr>
      <w:r w:rsidRPr="002A4E59">
        <w:rPr>
          <w:lang w:val="cs-CZ"/>
        </w:rPr>
        <w:t xml:space="preserve">Otázka: Je pro podání žádostí o výplatu protiplnění stanovena nějaká lhůta? </w:t>
      </w:r>
    </w:p>
    <w:p w:rsidR="002A4E59" w:rsidRPr="002A4E59" w:rsidRDefault="002A4E59" w:rsidP="002A4E59">
      <w:pPr>
        <w:pStyle w:val="Zkladntext"/>
        <w:rPr>
          <w:b/>
          <w:lang w:val="cs-CZ"/>
        </w:rPr>
      </w:pPr>
      <w:r w:rsidRPr="002A4E59">
        <w:rPr>
          <w:b/>
          <w:lang w:val="cs-CZ"/>
        </w:rPr>
        <w:t>Odpověď: Bývalí akcionáři musejí podat žádost o výplatu protiplnění do 18. listopadu 2038. Po uplynutí této lhůty propadá celý nevyplacený zůstatek ze zákona nizozemskému státu.</w:t>
      </w:r>
    </w:p>
    <w:p w:rsidR="002A4E59" w:rsidRPr="002A4E59" w:rsidRDefault="002A4E59" w:rsidP="002A4E59">
      <w:pPr>
        <w:pStyle w:val="Zkladntext"/>
        <w:rPr>
          <w:lang w:val="cs-CZ"/>
        </w:rPr>
      </w:pPr>
      <w:r w:rsidRPr="002A4E59">
        <w:rPr>
          <w:lang w:val="cs-CZ"/>
        </w:rPr>
        <w:t xml:space="preserve">Otázka: Může </w:t>
      </w:r>
      <w:proofErr w:type="spellStart"/>
      <w:r w:rsidRPr="002A4E59">
        <w:rPr>
          <w:i/>
          <w:lang w:val="cs-CZ"/>
        </w:rPr>
        <w:t>Consignation</w:t>
      </w:r>
      <w:proofErr w:type="spellEnd"/>
      <w:r w:rsidRPr="002A4E59">
        <w:rPr>
          <w:i/>
          <w:lang w:val="cs-CZ"/>
        </w:rPr>
        <w:t xml:space="preserve"> Office</w:t>
      </w:r>
      <w:r w:rsidRPr="002A4E59">
        <w:rPr>
          <w:b/>
          <w:lang w:val="cs-CZ"/>
        </w:rPr>
        <w:t xml:space="preserve"> </w:t>
      </w:r>
      <w:r w:rsidRPr="002A4E59">
        <w:rPr>
          <w:lang w:val="cs-CZ"/>
        </w:rPr>
        <w:t>vyplatit protiplnění v jiné měně než v EUR?</w:t>
      </w:r>
    </w:p>
    <w:p w:rsidR="002A4E59" w:rsidRPr="002A4E59" w:rsidRDefault="002A4E59" w:rsidP="002A4E59">
      <w:pPr>
        <w:pStyle w:val="Zkladntext"/>
        <w:rPr>
          <w:b/>
          <w:lang w:val="cs-CZ"/>
        </w:rPr>
      </w:pPr>
      <w:r w:rsidRPr="002A4E59">
        <w:rPr>
          <w:b/>
          <w:lang w:val="cs-CZ"/>
        </w:rPr>
        <w:t>Odpověď:  Platba v jiné měně než v EUR je možná, avšak vyřízení takové žádosti bude trvat déle a ponese s sebou dodatečné náklady (viz rovněž následující otázka a odpověď níže). Příslušná částka v EUR bude konvertována do požadované měny dle aktuálního kurzu holandské ING Bank v den převodu.</w:t>
      </w:r>
    </w:p>
    <w:p w:rsidR="002A4E59" w:rsidRPr="002A4E59" w:rsidRDefault="002A4E59" w:rsidP="002A4E59">
      <w:pPr>
        <w:pStyle w:val="Zkladntext"/>
        <w:rPr>
          <w:lang w:val="cs-CZ"/>
        </w:rPr>
      </w:pPr>
      <w:r w:rsidRPr="002A4E59">
        <w:rPr>
          <w:lang w:val="cs-CZ"/>
        </w:rPr>
        <w:t xml:space="preserve">Otázka: Může </w:t>
      </w:r>
      <w:proofErr w:type="spellStart"/>
      <w:r w:rsidRPr="002A4E59">
        <w:rPr>
          <w:i/>
          <w:lang w:val="cs-CZ"/>
        </w:rPr>
        <w:t>Consignation</w:t>
      </w:r>
      <w:proofErr w:type="spellEnd"/>
      <w:r w:rsidRPr="002A4E59">
        <w:rPr>
          <w:i/>
          <w:lang w:val="cs-CZ"/>
        </w:rPr>
        <w:t xml:space="preserve"> Office</w:t>
      </w:r>
      <w:r w:rsidRPr="002A4E59">
        <w:rPr>
          <w:b/>
          <w:lang w:val="cs-CZ"/>
        </w:rPr>
        <w:t xml:space="preserve"> </w:t>
      </w:r>
      <w:r w:rsidRPr="002A4E59">
        <w:rPr>
          <w:lang w:val="cs-CZ"/>
        </w:rPr>
        <w:t>vyplatit protiplnění na jiný bankovní účet než účet vedený v EUR (např. účty vedené v CZK nebo PLN)?</w:t>
      </w:r>
    </w:p>
    <w:p w:rsidR="002A4E59" w:rsidRPr="002A4E59" w:rsidRDefault="002A4E59" w:rsidP="002A4E59">
      <w:pPr>
        <w:pStyle w:val="Zkladntext"/>
        <w:rPr>
          <w:b/>
          <w:lang w:val="cs-CZ"/>
        </w:rPr>
      </w:pPr>
      <w:r w:rsidRPr="002A4E59">
        <w:rPr>
          <w:b/>
          <w:lang w:val="cs-CZ"/>
        </w:rPr>
        <w:t xml:space="preserve">Odpověď:  </w:t>
      </w:r>
      <w:proofErr w:type="spellStart"/>
      <w:r w:rsidRPr="002A4E59">
        <w:rPr>
          <w:b/>
          <w:i/>
          <w:lang w:val="cs-CZ"/>
        </w:rPr>
        <w:t>Consignation</w:t>
      </w:r>
      <w:proofErr w:type="spellEnd"/>
      <w:r w:rsidRPr="002A4E59">
        <w:rPr>
          <w:b/>
          <w:i/>
          <w:lang w:val="cs-CZ"/>
        </w:rPr>
        <w:t xml:space="preserve"> Office</w:t>
      </w:r>
      <w:r w:rsidRPr="002A4E59">
        <w:rPr>
          <w:b/>
          <w:lang w:val="cs-CZ"/>
        </w:rPr>
        <w:t xml:space="preserve"> může protiplnění vyplatit na bankovní účet vedený v CZK nebo PLN, avšak vyřízení takové žádosti bude trvat déle a ponese s sebou dodatečné náklady. S ohledem na evropskou bankovní směrnici PSD2 je v daném případe povinnost sdílet bankovní poplatky (tzv. SHA) pro SEPA platby (tzn. bankovní poplatky, které nese beneficient platby, závisí na výši poplatků banky beneficienta pro uskutečnění platby v CZK/PLN). </w:t>
      </w:r>
    </w:p>
    <w:p w:rsidR="002A4E59" w:rsidRPr="002A4E59" w:rsidRDefault="002A4E59" w:rsidP="002A4E59">
      <w:pPr>
        <w:pStyle w:val="Zkladntext"/>
        <w:rPr>
          <w:lang w:val="cs-CZ"/>
        </w:rPr>
      </w:pPr>
      <w:r w:rsidRPr="002A4E59">
        <w:rPr>
          <w:lang w:val="cs-CZ"/>
        </w:rPr>
        <w:t xml:space="preserve">Otázka: Poté, co pošlu žádost a související dokumenty, kdy mohu očekávat výplatu protiplnění? </w:t>
      </w:r>
    </w:p>
    <w:p w:rsidR="002A4E59" w:rsidRPr="002A4E59" w:rsidRDefault="002A4E59" w:rsidP="002A4E59">
      <w:pPr>
        <w:pStyle w:val="Zkladntext"/>
        <w:rPr>
          <w:b/>
          <w:lang w:val="cs-CZ"/>
        </w:rPr>
      </w:pPr>
      <w:r w:rsidRPr="002A4E59">
        <w:rPr>
          <w:b/>
          <w:lang w:val="cs-CZ"/>
        </w:rPr>
        <w:t>Odpověď:  Vzhledem k velkému počtu bývalých akcionářů bude proces vyřizování žádostí časově velmi náročný, přičemž se předpokládá, že bude trvat několik měsíců.</w:t>
      </w:r>
    </w:p>
    <w:p w:rsidR="002A4E59" w:rsidRPr="002A4E59" w:rsidRDefault="002A4E59" w:rsidP="002A4E59">
      <w:pPr>
        <w:pStyle w:val="Zkladntext"/>
        <w:rPr>
          <w:lang w:val="cs-CZ"/>
        </w:rPr>
      </w:pPr>
      <w:r w:rsidRPr="002A4E59">
        <w:rPr>
          <w:lang w:val="cs-CZ"/>
        </w:rPr>
        <w:t xml:space="preserve">Otázka: Můj otec byl akcionářem společnosti Fortuna, nedávno však zemřel. Zdědil jsem po něm právo na výplatu protiplnění. Jakým způsobem mohu o protiplnění požádat a jaké dokumenty k tomu </w:t>
      </w:r>
      <w:proofErr w:type="spellStart"/>
      <w:r w:rsidRPr="002A4E59">
        <w:rPr>
          <w:i/>
          <w:lang w:val="cs-CZ"/>
        </w:rPr>
        <w:t>Consignation</w:t>
      </w:r>
      <w:proofErr w:type="spellEnd"/>
      <w:r w:rsidRPr="002A4E59">
        <w:rPr>
          <w:i/>
          <w:lang w:val="cs-CZ"/>
        </w:rPr>
        <w:t xml:space="preserve"> Office</w:t>
      </w:r>
      <w:r w:rsidRPr="002A4E59">
        <w:rPr>
          <w:b/>
          <w:lang w:val="cs-CZ"/>
        </w:rPr>
        <w:t xml:space="preserve"> </w:t>
      </w:r>
      <w:r w:rsidRPr="002A4E59">
        <w:rPr>
          <w:lang w:val="cs-CZ"/>
        </w:rPr>
        <w:t xml:space="preserve">potřebuje? </w:t>
      </w:r>
    </w:p>
    <w:p w:rsidR="002A4E59" w:rsidRPr="002A4E59" w:rsidRDefault="002A4E59" w:rsidP="002A4E59">
      <w:pPr>
        <w:pStyle w:val="Zkladntext"/>
        <w:rPr>
          <w:b/>
          <w:lang w:val="cs-CZ"/>
        </w:rPr>
      </w:pPr>
      <w:r w:rsidRPr="002A4E59">
        <w:rPr>
          <w:b/>
          <w:lang w:val="cs-CZ"/>
        </w:rPr>
        <w:t xml:space="preserve">Odpověď:  Kromě dokumentů uvedených výše musí dědic také doložit doklad o tom, že bývalé akcie zdědil (např. poslední vůli nebo potvrzení o dědictví). Pokud takový dokument není v holandském nebo anglickém jazyce, doporučuje se pro urychlení celého procesu předložit překlad do jednoho z těchto jazyků. </w:t>
      </w:r>
    </w:p>
    <w:p w:rsidR="002A4E59" w:rsidRPr="002A4E59" w:rsidRDefault="002A4E59" w:rsidP="002A4E59">
      <w:pPr>
        <w:pStyle w:val="Zkladntext"/>
        <w:rPr>
          <w:lang w:val="cs-CZ"/>
        </w:rPr>
      </w:pPr>
      <w:r w:rsidRPr="002A4E59">
        <w:rPr>
          <w:lang w:val="cs-CZ"/>
        </w:rPr>
        <w:lastRenderedPageBreak/>
        <w:t xml:space="preserve">Otázka: Přijímá </w:t>
      </w:r>
      <w:proofErr w:type="spellStart"/>
      <w:r w:rsidRPr="002A4E59">
        <w:rPr>
          <w:i/>
          <w:lang w:val="cs-CZ"/>
        </w:rPr>
        <w:t>Consignation</w:t>
      </w:r>
      <w:proofErr w:type="spellEnd"/>
      <w:r w:rsidRPr="002A4E59">
        <w:rPr>
          <w:i/>
          <w:lang w:val="cs-CZ"/>
        </w:rPr>
        <w:t xml:space="preserve"> Office</w:t>
      </w:r>
      <w:r w:rsidRPr="002A4E59">
        <w:rPr>
          <w:b/>
          <w:lang w:val="cs-CZ"/>
        </w:rPr>
        <w:t xml:space="preserve"> </w:t>
      </w:r>
      <w:r w:rsidRPr="002A4E59">
        <w:rPr>
          <w:lang w:val="cs-CZ"/>
        </w:rPr>
        <w:t>dokumenty v jiných jazycích než holandština nebo angličtina?</w:t>
      </w:r>
    </w:p>
    <w:p w:rsidR="002A4E59" w:rsidRPr="002A4E59" w:rsidRDefault="002A4E59" w:rsidP="002A4E59">
      <w:pPr>
        <w:pStyle w:val="Zkladntext"/>
        <w:rPr>
          <w:b/>
          <w:lang w:val="cs-CZ"/>
        </w:rPr>
      </w:pPr>
      <w:r w:rsidRPr="002A4E59">
        <w:rPr>
          <w:b/>
          <w:lang w:val="cs-CZ"/>
        </w:rPr>
        <w:t xml:space="preserve">Odpověď:  </w:t>
      </w:r>
      <w:proofErr w:type="spellStart"/>
      <w:r w:rsidRPr="002A4E59">
        <w:rPr>
          <w:b/>
          <w:i/>
          <w:lang w:val="cs-CZ"/>
        </w:rPr>
        <w:t>Consignation</w:t>
      </w:r>
      <w:proofErr w:type="spellEnd"/>
      <w:r w:rsidRPr="002A4E59">
        <w:rPr>
          <w:b/>
          <w:i/>
          <w:lang w:val="cs-CZ"/>
        </w:rPr>
        <w:t xml:space="preserve"> Office</w:t>
      </w:r>
      <w:r w:rsidRPr="002A4E59">
        <w:rPr>
          <w:b/>
          <w:lang w:val="cs-CZ"/>
        </w:rPr>
        <w:t xml:space="preserve"> v zásadě přijímá dokumenty v jiných jazycích než holandština nebo angličtina. V případě nejasností si tento úřad vyhrazuje právo vyžádat si dodatečné informace.  </w:t>
      </w:r>
    </w:p>
    <w:p w:rsidR="002A4E59" w:rsidRPr="002A4E59" w:rsidRDefault="002A4E59" w:rsidP="002A4E59">
      <w:pPr>
        <w:pStyle w:val="Zkladntext"/>
        <w:rPr>
          <w:lang w:val="cs-CZ"/>
        </w:rPr>
      </w:pPr>
      <w:r w:rsidRPr="002A4E59">
        <w:rPr>
          <w:lang w:val="cs-CZ"/>
        </w:rPr>
        <w:t>Otázka: V případě, že žádost nebude vyplněna správně (a bude obsahovat chyby), upozorní mě na to úřad a vyzve mě, abych nedostatky opravil?</w:t>
      </w:r>
    </w:p>
    <w:p w:rsidR="002A4E59" w:rsidRPr="00BF2088" w:rsidRDefault="002A4E59" w:rsidP="002A4E59">
      <w:pPr>
        <w:pStyle w:val="Zkladntext"/>
        <w:rPr>
          <w:b/>
          <w:lang w:val="cs-CZ"/>
        </w:rPr>
      </w:pPr>
      <w:r w:rsidRPr="00BF2088">
        <w:rPr>
          <w:b/>
          <w:lang w:val="cs-CZ"/>
        </w:rPr>
        <w:t xml:space="preserve">Odpověď: </w:t>
      </w:r>
      <w:proofErr w:type="spellStart"/>
      <w:r w:rsidRPr="00BF2088">
        <w:rPr>
          <w:b/>
          <w:i/>
          <w:lang w:val="cs-CZ"/>
        </w:rPr>
        <w:t>Consignation</w:t>
      </w:r>
      <w:proofErr w:type="spellEnd"/>
      <w:r w:rsidRPr="00BF2088">
        <w:rPr>
          <w:b/>
          <w:i/>
          <w:lang w:val="cs-CZ"/>
        </w:rPr>
        <w:t xml:space="preserve"> Office</w:t>
      </w:r>
      <w:r w:rsidRPr="00BF2088">
        <w:rPr>
          <w:b/>
          <w:lang w:val="cs-CZ"/>
        </w:rPr>
        <w:t xml:space="preserve"> v takovém případě žádost odmítne a vyzve Vás, abyste předložil další informace nezbytné pro schválení Vaší žádosti. </w:t>
      </w:r>
      <w:r w:rsidR="001509FD" w:rsidRPr="00BF2088">
        <w:rPr>
          <w:b/>
          <w:bCs/>
          <w:lang w:val="cs-CZ"/>
        </w:rPr>
        <w:t xml:space="preserve">Tato komunikace bude probíhat pouze prostřednictvím e-mailu v angličtině/holandštině. </w:t>
      </w:r>
      <w:r w:rsidRPr="00BF2088">
        <w:rPr>
          <w:b/>
          <w:lang w:val="cs-CZ"/>
        </w:rPr>
        <w:t xml:space="preserve">Bude to však mít nepříznivý vliv na dobu trvání vyřízení žádosti o vyplacení protiplnění.  </w:t>
      </w:r>
    </w:p>
    <w:p w:rsidR="002A4E59" w:rsidRPr="002A4E59" w:rsidRDefault="002A4E59" w:rsidP="002A4E59">
      <w:pPr>
        <w:pStyle w:val="Zkladntext"/>
        <w:rPr>
          <w:b/>
          <w:lang w:val="cs-CZ"/>
        </w:rPr>
      </w:pPr>
    </w:p>
    <w:p w:rsidR="002A4E59" w:rsidRPr="002A4E59" w:rsidRDefault="00BF2088" w:rsidP="002A4E59">
      <w:pPr>
        <w:pStyle w:val="Zkladntext"/>
        <w:rPr>
          <w:lang w:val="cs-CZ"/>
        </w:rPr>
      </w:pPr>
      <w:r>
        <w:rPr>
          <w:lang w:val="cs-CZ"/>
        </w:rPr>
        <w:t>Amsterdam 16</w:t>
      </w:r>
      <w:r w:rsidR="002A4E59" w:rsidRPr="002A4E59">
        <w:rPr>
          <w:lang w:val="cs-CZ"/>
        </w:rPr>
        <w:t>. dubna 2019</w:t>
      </w:r>
      <w:bookmarkStart w:id="1" w:name="_GoBack"/>
      <w:bookmarkEnd w:id="1"/>
    </w:p>
    <w:p w:rsidR="002A4E59" w:rsidRPr="002A4E59" w:rsidRDefault="002A4E59" w:rsidP="002A4E59">
      <w:pPr>
        <w:pStyle w:val="Zkladntext"/>
        <w:rPr>
          <w:b/>
          <w:lang w:val="cs-CZ"/>
        </w:rPr>
      </w:pPr>
    </w:p>
    <w:p w:rsidR="006B7C4A" w:rsidRPr="002A4E59" w:rsidRDefault="006B7C4A">
      <w:pPr>
        <w:rPr>
          <w:rFonts w:ascii="Times New Roman" w:hAnsi="Times New Roman" w:cs="Times New Roman"/>
        </w:rPr>
      </w:pPr>
    </w:p>
    <w:sectPr w:rsidR="006B7C4A" w:rsidRPr="002A4E59" w:rsidSect="00E4352C">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5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F08" w:rsidRDefault="00AE3F08" w:rsidP="006B7C4A">
      <w:r>
        <w:separator/>
      </w:r>
    </w:p>
  </w:endnote>
  <w:endnote w:type="continuationSeparator" w:id="0">
    <w:p w:rsidR="00AE3F08" w:rsidRDefault="00AE3F08" w:rsidP="006B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Základní tex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6A" w:rsidRDefault="006948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761905209"/>
      <w:docPartObj>
        <w:docPartGallery w:val="Page Numbers (Bottom of Page)"/>
        <w:docPartUnique/>
      </w:docPartObj>
    </w:sdtPr>
    <w:sdtEndPr>
      <w:rPr>
        <w:rStyle w:val="slostrnky"/>
      </w:rPr>
    </w:sdtEndPr>
    <w:sdtContent>
      <w:p w:rsidR="00BA4771" w:rsidRDefault="00BA4771" w:rsidP="00BA4771">
        <w:pPr>
          <w:pStyle w:val="Zpat"/>
          <w:framePr w:h="286" w:hRule="exact" w:wrap="none" w:vAnchor="text" w:hAnchor="margin" w:xAlign="right" w:y="49"/>
          <w:rPr>
            <w:rStyle w:val="slostrnky"/>
          </w:rPr>
        </w:pPr>
        <w:r w:rsidRPr="00E4352C">
          <w:rPr>
            <w:rStyle w:val="slostrnky"/>
            <w:sz w:val="21"/>
          </w:rPr>
          <w:fldChar w:fldCharType="begin"/>
        </w:r>
        <w:r w:rsidRPr="00E4352C">
          <w:rPr>
            <w:rStyle w:val="slostrnky"/>
            <w:sz w:val="21"/>
          </w:rPr>
          <w:instrText xml:space="preserve"> PAGE </w:instrText>
        </w:r>
        <w:r w:rsidRPr="00E4352C">
          <w:rPr>
            <w:rStyle w:val="slostrnky"/>
            <w:sz w:val="21"/>
          </w:rPr>
          <w:fldChar w:fldCharType="separate"/>
        </w:r>
        <w:r w:rsidR="00BF2088">
          <w:rPr>
            <w:rStyle w:val="slostrnky"/>
            <w:noProof/>
            <w:sz w:val="21"/>
          </w:rPr>
          <w:t>4</w:t>
        </w:r>
        <w:r w:rsidRPr="00E4352C">
          <w:rPr>
            <w:rStyle w:val="slostrnky"/>
            <w:sz w:val="21"/>
          </w:rPr>
          <w:fldChar w:fldCharType="end"/>
        </w:r>
      </w:p>
    </w:sdtContent>
  </w:sdt>
  <w:p w:rsidR="006B7C4A" w:rsidRDefault="00BA4771" w:rsidP="00BA4771">
    <w:pPr>
      <w:pStyle w:val="Zpat"/>
      <w:tabs>
        <w:tab w:val="clear" w:pos="9072"/>
        <w:tab w:val="right" w:pos="9632"/>
      </w:tabs>
    </w:pPr>
    <w:r>
      <w:rPr>
        <w:noProof/>
      </w:rPr>
      <w:t xml:space="preserve"> </w:t>
    </w:r>
    <w:r w:rsidR="006B7C4A">
      <w:rPr>
        <w:noProof/>
        <w:lang w:eastAsia="cs-CZ"/>
      </w:rPr>
      <w:drawing>
        <wp:inline distT="0" distB="0" distL="0" distR="0" wp14:anchorId="32270347" wp14:editId="1DB58BB8">
          <wp:extent cx="3277773" cy="23412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ímek obrazovky 2019-01-21 v 23.41.31.png"/>
                  <pic:cNvPicPr/>
                </pic:nvPicPr>
                <pic:blipFill>
                  <a:blip r:embed="rId1">
                    <a:extLst>
                      <a:ext uri="{28A0092B-C50C-407E-A947-70E740481C1C}">
                        <a14:useLocalDpi xmlns:a14="http://schemas.microsoft.com/office/drawing/2010/main" val="0"/>
                      </a:ext>
                    </a:extLst>
                  </a:blip>
                  <a:stretch>
                    <a:fillRect/>
                  </a:stretch>
                </pic:blipFill>
                <pic:spPr>
                  <a:xfrm>
                    <a:off x="0" y="0"/>
                    <a:ext cx="3277773" cy="234127"/>
                  </a:xfrm>
                  <a:prstGeom prst="rect">
                    <a:avLst/>
                  </a:prstGeom>
                </pic:spPr>
              </pic:pic>
            </a:graphicData>
          </a:graphic>
        </wp:inline>
      </w:drawing>
    </w:r>
    <w:r w:rsidR="00E4352C">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52C" w:rsidRDefault="00BA4771" w:rsidP="00BA4771">
    <w:pPr>
      <w:pStyle w:val="Zpat"/>
      <w:tabs>
        <w:tab w:val="clear" w:pos="9072"/>
        <w:tab w:val="right" w:pos="9632"/>
      </w:tabs>
      <w:ind w:right="360"/>
    </w:pPr>
    <w:r>
      <w:rPr>
        <w:noProof/>
      </w:rPr>
      <w:t xml:space="preserve"> </w:t>
    </w:r>
    <w:r w:rsidR="00E4352C">
      <w:rPr>
        <w:noProof/>
        <w:lang w:eastAsia="cs-CZ"/>
      </w:rPr>
      <w:drawing>
        <wp:inline distT="0" distB="0" distL="0" distR="0" wp14:anchorId="712CCD93" wp14:editId="5ED76807">
          <wp:extent cx="3277773" cy="234127"/>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ímek obrazovky 2019-01-21 v 23.41.31.png"/>
                  <pic:cNvPicPr/>
                </pic:nvPicPr>
                <pic:blipFill>
                  <a:blip r:embed="rId1">
                    <a:extLst>
                      <a:ext uri="{28A0092B-C50C-407E-A947-70E740481C1C}">
                        <a14:useLocalDpi xmlns:a14="http://schemas.microsoft.com/office/drawing/2010/main" val="0"/>
                      </a:ext>
                    </a:extLst>
                  </a:blip>
                  <a:stretch>
                    <a:fillRect/>
                  </a:stretch>
                </pic:blipFill>
                <pic:spPr>
                  <a:xfrm>
                    <a:off x="0" y="0"/>
                    <a:ext cx="3277773" cy="234127"/>
                  </a:xfrm>
                  <a:prstGeom prst="rect">
                    <a:avLst/>
                  </a:prstGeom>
                </pic:spPr>
              </pic:pic>
            </a:graphicData>
          </a:graphic>
        </wp:inline>
      </w:drawing>
    </w:r>
    <w:r w:rsidR="00E4352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F08" w:rsidRDefault="00AE3F08" w:rsidP="006B7C4A">
      <w:r>
        <w:separator/>
      </w:r>
    </w:p>
  </w:footnote>
  <w:footnote w:type="continuationSeparator" w:id="0">
    <w:p w:rsidR="00AE3F08" w:rsidRDefault="00AE3F08" w:rsidP="006B7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6A" w:rsidRDefault="0069486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4A" w:rsidRPr="00E4352C" w:rsidRDefault="00E4352C" w:rsidP="00E4352C">
    <w:pPr>
      <w:pStyle w:val="Normlnweb"/>
      <w:tabs>
        <w:tab w:val="left" w:pos="5670"/>
      </w:tabs>
      <w:ind w:left="1843"/>
      <w:rPr>
        <w:rFonts w:ascii="Arial" w:hAnsi="Arial" w:cs="Arial"/>
        <w:color w:val="00071E"/>
        <w:sz w:val="15"/>
        <w:szCs w:val="14"/>
      </w:rPr>
    </w:pPr>
    <w:r>
      <w:rPr>
        <w:noProof/>
      </w:rPr>
      <w:drawing>
        <wp:anchor distT="0" distB="0" distL="114300" distR="114300" simplePos="0" relativeHeight="251660288" behindDoc="0" locked="0" layoutInCell="1" allowOverlap="1">
          <wp:simplePos x="0" y="0"/>
          <wp:positionH relativeFrom="column">
            <wp:posOffset>33020</wp:posOffset>
          </wp:positionH>
          <wp:positionV relativeFrom="paragraph">
            <wp:posOffset>52079</wp:posOffset>
          </wp:positionV>
          <wp:extent cx="830687" cy="417413"/>
          <wp:effectExtent l="0" t="0" r="0" b="1905"/>
          <wp:wrapNone/>
          <wp:docPr id="5" name="Obrázek 5" descr="Obsah obrázku objekt  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G Logo Blue.png"/>
                  <pic:cNvPicPr/>
                </pic:nvPicPr>
                <pic:blipFill>
                  <a:blip r:embed="rId1">
                    <a:extLst>
                      <a:ext uri="{28A0092B-C50C-407E-A947-70E740481C1C}">
                        <a14:useLocalDpi xmlns:a14="http://schemas.microsoft.com/office/drawing/2010/main" val="0"/>
                      </a:ext>
                    </a:extLst>
                  </a:blip>
                  <a:stretch>
                    <a:fillRect/>
                  </a:stretch>
                </pic:blipFill>
                <pic:spPr>
                  <a:xfrm>
                    <a:off x="0" y="0"/>
                    <a:ext cx="830687" cy="41741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71E"/>
        <w:sz w:val="14"/>
        <w:szCs w:val="14"/>
      </w:rPr>
      <w:br/>
      <w:t xml:space="preserve">FORTUNA </w:t>
    </w:r>
    <w:r w:rsidR="0069486A">
      <w:rPr>
        <w:rFonts w:ascii="Arial" w:hAnsi="Arial" w:cs="Arial"/>
        <w:color w:val="00071E"/>
        <w:sz w:val="14"/>
        <w:szCs w:val="14"/>
      </w:rPr>
      <w:t xml:space="preserve">ENTERTAINMENT GROUP </w:t>
    </w:r>
    <w:proofErr w:type="gramStart"/>
    <w:r w:rsidR="0069486A">
      <w:rPr>
        <w:rFonts w:ascii="Arial" w:hAnsi="Arial" w:cs="Arial"/>
        <w:color w:val="00071E"/>
        <w:sz w:val="14"/>
        <w:szCs w:val="14"/>
      </w:rPr>
      <w:t>N.V.</w:t>
    </w:r>
    <w:r>
      <w:rPr>
        <w:rFonts w:ascii="Arial" w:hAnsi="Arial" w:cs="Arial"/>
        <w:color w:val="00071E"/>
        <w:sz w:val="14"/>
        <w:szCs w:val="14"/>
      </w:rPr>
      <w:tab/>
    </w:r>
    <w:proofErr w:type="spellStart"/>
    <w:r w:rsidRPr="006B7C4A">
      <w:rPr>
        <w:rFonts w:ascii="Arial" w:hAnsi="Arial" w:cs="Arial"/>
        <w:color w:val="00071E"/>
        <w:sz w:val="15"/>
        <w:szCs w:val="14"/>
      </w:rPr>
      <w:t>Phone</w:t>
    </w:r>
    <w:proofErr w:type="spellEnd"/>
    <w:proofErr w:type="gramEnd"/>
    <w:r w:rsidRPr="006B7C4A">
      <w:rPr>
        <w:rFonts w:ascii="Arial" w:hAnsi="Arial" w:cs="Arial"/>
        <w:color w:val="00071E"/>
        <w:sz w:val="15"/>
        <w:szCs w:val="14"/>
      </w:rPr>
      <w:t xml:space="preserve">: </w:t>
    </w:r>
    <w:r w:rsidR="0069486A" w:rsidRPr="006B7C4A">
      <w:rPr>
        <w:rFonts w:ascii="Arial" w:hAnsi="Arial" w:cs="Arial"/>
        <w:color w:val="00071E"/>
        <w:sz w:val="15"/>
        <w:szCs w:val="14"/>
      </w:rPr>
      <w:t>+</w:t>
    </w:r>
    <w:r w:rsidR="0069486A" w:rsidRPr="0069486A">
      <w:rPr>
        <w:rFonts w:ascii="Arial" w:hAnsi="Arial" w:cs="Arial"/>
        <w:color w:val="00071E"/>
        <w:sz w:val="15"/>
        <w:szCs w:val="14"/>
      </w:rPr>
      <w:t>31 020 238 0320</w:t>
    </w:r>
    <w:r w:rsidR="006B7C4A">
      <w:rPr>
        <w:rFonts w:ascii="Arial" w:hAnsi="Arial" w:cs="Arial"/>
        <w:color w:val="00071E"/>
        <w:sz w:val="14"/>
        <w:szCs w:val="14"/>
      </w:rPr>
      <w:br/>
    </w:r>
    <w:r w:rsidR="0069486A" w:rsidRPr="0069486A">
      <w:rPr>
        <w:rFonts w:ascii="Arial" w:hAnsi="Arial" w:cs="Arial"/>
        <w:color w:val="00071E"/>
        <w:sz w:val="15"/>
        <w:szCs w:val="14"/>
      </w:rPr>
      <w:t>Strawinskylaan 1223, 1077XX Amsterdam</w:t>
    </w:r>
    <w:r w:rsidR="0069486A">
      <w:rPr>
        <w:rFonts w:ascii="Arial" w:hAnsi="Arial" w:cs="Arial"/>
        <w:color w:val="00071E"/>
        <w:sz w:val="15"/>
        <w:szCs w:val="14"/>
      </w:rPr>
      <w:t xml:space="preserve"> </w:t>
    </w:r>
    <w:r w:rsidR="006B7C4A" w:rsidRPr="006B7C4A">
      <w:rPr>
        <w:noProof/>
      </w:rPr>
      <mc:AlternateContent>
        <mc:Choice Requires="wps">
          <w:drawing>
            <wp:anchor distT="0" distB="0" distL="114300" distR="114300" simplePos="0" relativeHeight="251659264" behindDoc="0" locked="0" layoutInCell="1" allowOverlap="1" wp14:anchorId="00AA59F4" wp14:editId="2249A63B">
              <wp:simplePos x="0" y="0"/>
              <wp:positionH relativeFrom="column">
                <wp:posOffset>-317189</wp:posOffset>
              </wp:positionH>
              <wp:positionV relativeFrom="paragraph">
                <wp:posOffset>271780</wp:posOffset>
              </wp:positionV>
              <wp:extent cx="0" cy="9521270"/>
              <wp:effectExtent l="25400" t="25400" r="38100" b="41910"/>
              <wp:wrapNone/>
              <wp:docPr id="3" name="Přímá spojnice 3"/>
              <wp:cNvGraphicFramePr/>
              <a:graphic xmlns:a="http://schemas.openxmlformats.org/drawingml/2006/main">
                <a:graphicData uri="http://schemas.microsoft.com/office/word/2010/wordprocessingShape">
                  <wps:wsp>
                    <wps:cNvCnPr/>
                    <wps:spPr>
                      <a:xfrm>
                        <a:off x="0" y="0"/>
                        <a:ext cx="0" cy="9521270"/>
                      </a:xfrm>
                      <a:prstGeom prst="line">
                        <a:avLst/>
                      </a:prstGeom>
                      <a:ln>
                        <a:solidFill>
                          <a:srgbClr val="0F0F23"/>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37D78DD" id="Přímá spojnice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21.4pt" to="-25pt,771.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WquN+wEAAFMEAAAOAAAAZHJzL2Uyb0RvYy54bWysVMuO0zAU3SPxD5b3NI8Rr6jpLGYoGwQV jw9wnevGyC/Zpkk+hSUfwFeM+C+unTYDzEgjEBvXds6595yTm64vR63IEXyQ1rS0WpWUgOG2k+bQ 0k8ft09eUBIiMx1T1kBLJwj0cvP40XpwDdS2t6oDT7CICc3gWtrH6JqiCLwHzcLKOjD4UFivWcSj PxSdZwNW16qoy/JZMVjfOW85hIC31/NDusn1hQAe3wkRIBLVUtQW8+rzuk9rsVmz5uCZ6yU/yWD/ oEIzabDpUuqaRUa+eHmnlJbc22BFXHGrCyuE5JA9oJuq/MPNh545yF4wnOCWmML/K8vfHneeyK6l F5QYpvEV7X58vfmub76R4Oxng/rIRYppcKFB9JXZ+dMpuJ1PnkfhdfpFN2TM0U5LtDBGwudLjrcv n9ZV/TzHXtwSnQ/xNVhN0qalSprkmjXs+CZEbIbQMyRdK5PWYJXstlKpfPCH/ZXy5MjSe96W2zpr RuJvsB5Y98p0JE4OjVpEUzK0NGhKFOD84iYPRGRSPYzD6klKkZKZs8i7OCmYZb4HgdGi+yrbyUMN i0zGOZhYpY65EqITTaClhVg+TDzhExXywP8NeWHkztbEhaylsf6+7nE8SxYz/pzA7DtFsLfdlKck R4OTmx2evrL0afx6zvTb/4LNTwAAAP//AwBQSwMEFAAGAAgAAAAhAJiAIRjfAAAACwEAAA8AAABk cnMvZG93bnJldi54bWxMj8FOwzAMhu9IvENkJG5bSrSiqTSdEGKCyw4MJu2YNl5brXFCk23l7THi AEfbn35/f7ma3CDOOMbek4a7eQYCqfG2p1bDx/t6tgQRkyFrBk+o4QsjrKrrq9IU1l/oDc/b1AoO oVgYDV1KoZAyNh06E+c+IPHt4EdnEo9jK+1oLhzuBqmy7F460xN/6EzApw6b4/bkNBwPn3Ffvzy/ +s1GNXmod24Z1lrf3kyPDyASTukPhh99VoeKnWp/IhvFoGGWZ9wlaVgorsDA76JmMl8oBbIq5f8O 1TcAAAD//wMAUEsBAi0AFAAGAAgAAAAhALaDOJL+AAAA4QEAABMAAAAAAAAAAAAAAAAAAAAAAFtD b250ZW50X1R5cGVzXS54bWxQSwECLQAUAAYACAAAACEAOP0h/9YAAACUAQAACwAAAAAAAAAAAAAA AAAvAQAAX3JlbHMvLnJlbHNQSwECLQAUAAYACAAAACEAz1qrjfsBAABTBAAADgAAAAAAAAAAAAAA AAAuAgAAZHJzL2Uyb0RvYy54bWxQSwECLQAUAAYACAAAACEAmIAhGN8AAAALAQAADwAAAAAAAAAA AAAAAABVBAAAZHJzL2Rvd25yZXYueG1sUEsFBgAAAAAEAAQA8wAAAGEFAAAAAA== " strokecolor="#0f0f23" strokeweight=".5pt">
              <v:stroke startarrow="oval" startarrowwidth="narrow" startarrowlength="short" endarrow="oval" endarrowwidth="narrow" endarrowlength="short" joinstyle="miter"/>
            </v:line>
          </w:pict>
        </mc:Fallback>
      </mc:AlternateContent>
    </w:r>
    <w:r>
      <w:rPr>
        <w:rFonts w:ascii="Arial" w:hAnsi="Arial" w:cs="Arial"/>
        <w:color w:val="00071E"/>
        <w:sz w:val="15"/>
        <w:szCs w:val="14"/>
      </w:rPr>
      <w:tab/>
    </w:r>
    <w:r w:rsidR="0069486A">
      <w:rPr>
        <w:rFonts w:ascii="Arial" w:hAnsi="Arial" w:cs="Arial"/>
        <w:color w:val="00071E"/>
        <w:sz w:val="15"/>
        <w:szCs w:val="14"/>
      </w:rPr>
      <w:t>E-mail</w:t>
    </w:r>
    <w:r w:rsidR="0069486A" w:rsidRPr="006B7C4A">
      <w:rPr>
        <w:rFonts w:ascii="Arial" w:hAnsi="Arial" w:cs="Arial"/>
        <w:color w:val="00071E"/>
        <w:sz w:val="15"/>
        <w:szCs w:val="14"/>
      </w:rPr>
      <w:t xml:space="preserve">: </w:t>
    </w:r>
    <w:r w:rsidR="0069486A" w:rsidRPr="0069486A">
      <w:rPr>
        <w:rFonts w:ascii="Arial" w:hAnsi="Arial" w:cs="Arial"/>
        <w:color w:val="00071E"/>
        <w:sz w:val="15"/>
        <w:szCs w:val="14"/>
      </w:rPr>
      <w:t>office@fortunaeg.nl</w:t>
    </w:r>
    <w:r w:rsidR="0069486A">
      <w:rPr>
        <w:rFonts w:ascii="Arial" w:hAnsi="Arial" w:cs="Arial"/>
        <w:color w:val="00071E"/>
        <w:sz w:val="15"/>
        <w:szCs w:val="14"/>
      </w:rPr>
      <w:br/>
    </w:r>
    <w:proofErr w:type="spellStart"/>
    <w:r w:rsidR="0069486A">
      <w:rPr>
        <w:rFonts w:ascii="Arial" w:hAnsi="Arial" w:cs="Arial"/>
        <w:color w:val="00071E"/>
        <w:sz w:val="15"/>
        <w:szCs w:val="14"/>
      </w:rPr>
      <w:t>Netherlands</w:t>
    </w:r>
    <w:proofErr w:type="spellEnd"/>
    <w:r>
      <w:rPr>
        <w:rFonts w:ascii="Arial" w:hAnsi="Arial" w:cs="Arial"/>
        <w:color w:val="00071E"/>
        <w:sz w:val="15"/>
        <w:szCs w:val="14"/>
      </w:rPr>
      <w:tab/>
    </w:r>
    <w:r w:rsidRPr="006B7C4A">
      <w:rPr>
        <w:rFonts w:ascii="Arial" w:hAnsi="Arial" w:cs="Arial"/>
        <w:color w:val="00071E"/>
        <w:sz w:val="15"/>
        <w:szCs w:val="14"/>
      </w:rPr>
      <w:t>www.fortunagroup.eu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52C" w:rsidRPr="00E4352C" w:rsidRDefault="00E4352C" w:rsidP="00E4352C">
    <w:pPr>
      <w:pStyle w:val="Normlnweb"/>
      <w:ind w:left="3119"/>
      <w:rPr>
        <w:rFonts w:ascii="Arial" w:hAnsi="Arial" w:cs="Arial"/>
        <w:color w:val="00071E"/>
        <w:sz w:val="14"/>
        <w:szCs w:val="14"/>
      </w:rPr>
    </w:pPr>
    <w:r w:rsidRPr="006B7C4A">
      <w:rPr>
        <w:noProof/>
      </w:rPr>
      <mc:AlternateContent>
        <mc:Choice Requires="wps">
          <w:drawing>
            <wp:anchor distT="0" distB="0" distL="114300" distR="114300" simplePos="0" relativeHeight="251662336" behindDoc="0" locked="0" layoutInCell="1" allowOverlap="1" wp14:anchorId="74DD65C0" wp14:editId="6C9569C3">
              <wp:simplePos x="0" y="0"/>
              <wp:positionH relativeFrom="column">
                <wp:posOffset>-316230</wp:posOffset>
              </wp:positionH>
              <wp:positionV relativeFrom="paragraph">
                <wp:posOffset>365125</wp:posOffset>
              </wp:positionV>
              <wp:extent cx="0" cy="9427210"/>
              <wp:effectExtent l="25400" t="25400" r="38100" b="34290"/>
              <wp:wrapNone/>
              <wp:docPr id="6" name="Přímá spojnice 6"/>
              <wp:cNvGraphicFramePr/>
              <a:graphic xmlns:a="http://schemas.openxmlformats.org/drawingml/2006/main">
                <a:graphicData uri="http://schemas.microsoft.com/office/word/2010/wordprocessingShape">
                  <wps:wsp>
                    <wps:cNvCnPr/>
                    <wps:spPr>
                      <a:xfrm>
                        <a:off x="0" y="0"/>
                        <a:ext cx="0" cy="9427210"/>
                      </a:xfrm>
                      <a:prstGeom prst="line">
                        <a:avLst/>
                      </a:prstGeom>
                      <a:ln>
                        <a:solidFill>
                          <a:srgbClr val="000028"/>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C42B7C" id="Přímá spojnice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pt,28.75pt" to="-24.9pt,771.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k3Rf/AEAAFMEAAAOAAAAZHJzL2Uyb0RvYy54bWysVMuO0zAU3SPxD5b3NGmEyhA1ncUMwwZB xeMDXOe6MfJLtmmST2HJB/AVI/6LayfNADPSCEQXru2cc33O8U22l4NW5AQ+SGsaul6VlIDhtpXm 2NBPH2+eXVASIjMtU9ZAQ0cI9HL39Mm2dzVUtrOqBU+wiAl17xraxejqogi8A83Cyjow+FBYr1nE pT8WrWc9VteqqMpyU/TWt85bDiHg7vX0kO5yfSGAx3dCBIhENRS1xTz6PB7SWOy2rD565jrJZxns H1RoJg0eupS6ZpGRL17eK6Ul9zZYEVfc6sIKITlkD+hmXf7h5kPHHGQvGE5wS0zh/5Xlb097T2Tb 0A0lhmm8ov2Pr7ff9e03Epz9bFAf2aSYehdqRF+ZvZ9Xwe198jwIr9M/uiFDjnZcooUhEj5tctx9 +bx6Ua1z7MUd0fkQX4PVJE0aqqRJrlnNTm9CxMMQeoakbWXSGKyS7Y1UKi/88XClPDmxdM/4qy6S ZiT+BuuAta9MS+Lo0KhFNCV9Q4OmRAH2L06QxerIpHoch9WTlCIlM2WRZ3FUMMl8DwKjRffrbCc3 NSwyGedg4nrWqQyiE02gpYVYPk6c8YkKueH/hrww8snWxIWspbH+odPjcJYsJvw5gcl3iuBg2zF3 SY4GOzffxPyWpVfj13Wm330Ldj8BAAD//wMAUEsDBBQABgAIAAAAIQBjz84O4AAAAAsBAAAPAAAA ZHJzL2Rvd25yZXYueG1sTI9NT8MwDIbvSPyHyEjctnRby0dpOqFJHEBoEoMLt7RJ00LjVI23ln+P EQc42n70+nmL7ex7cbJj7AIqWC0TEBbrYDp0Ct5eHxY3ICJpNLoPaBV82Qjb8vys0LkJE77Y04Gc 4BCMuVbQEg25lLFurddxGQaLfGvC6DXxODppRj1xuO/lOkmupNcd8odWD3bX2vrzcPQKmunZNbus 2nwMgZ72G/dOafuo1OXFfH8HguxMfzD86LM6lOxUhSOaKHoFi/SW1UlBdp2BYOB3UTGZpesVyLKQ /zuU3wAAAP//AwBQSwECLQAUAAYACAAAACEAtoM4kv4AAADhAQAAEwAAAAAAAAAAAAAAAAAAAAAA W0NvbnRlbnRfVHlwZXNdLnhtbFBLAQItABQABgAIAAAAIQA4/SH/1gAAAJQBAAALAAAAAAAAAAAA AAAAAC8BAABfcmVscy8ucmVsc1BLAQItABQABgAIAAAAIQBAk3Rf/AEAAFMEAAAOAAAAAAAAAAAA AAAAAC4CAABkcnMvZTJvRG9jLnhtbFBLAQItABQABgAIAAAAIQBjz84O4AAAAAsBAAAPAAAAAAAA AAAAAAAAAFYEAABkcnMvZG93bnJldi54bWxQSwUGAAAAAAQABADzAAAAYwUAAAAA " strokecolor="#000028" strokeweight=".5pt">
              <v:stroke startarrow="oval" startarrowwidth="narrow" startarrowlength="short" endarrow="oval" endarrowwidth="narrow" endarrowlength="short" joinstyle="miter"/>
            </v:line>
          </w:pict>
        </mc:Fallback>
      </mc:AlternateContent>
    </w:r>
    <w:r>
      <w:rPr>
        <w:noProof/>
      </w:rPr>
      <w:drawing>
        <wp:anchor distT="0" distB="0" distL="114300" distR="114300" simplePos="0" relativeHeight="251663360" behindDoc="0" locked="0" layoutInCell="1" allowOverlap="1" wp14:anchorId="40CD53A6" wp14:editId="200EDA67">
          <wp:simplePos x="0" y="0"/>
          <wp:positionH relativeFrom="column">
            <wp:posOffset>33324</wp:posOffset>
          </wp:positionH>
          <wp:positionV relativeFrom="paragraph">
            <wp:posOffset>-71246</wp:posOffset>
          </wp:positionV>
          <wp:extent cx="1590541" cy="799233"/>
          <wp:effectExtent l="0" t="0" r="0" b="1270"/>
          <wp:wrapNone/>
          <wp:docPr id="7" name="Obrázek 7" descr="Obsah obrázku objekt  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G Logo Blue.png"/>
                  <pic:cNvPicPr/>
                </pic:nvPicPr>
                <pic:blipFill>
                  <a:blip r:embed="rId1">
                    <a:extLst>
                      <a:ext uri="{28A0092B-C50C-407E-A947-70E740481C1C}">
                        <a14:useLocalDpi xmlns:a14="http://schemas.microsoft.com/office/drawing/2010/main" val="0"/>
                      </a:ext>
                    </a:extLst>
                  </a:blip>
                  <a:stretch>
                    <a:fillRect/>
                  </a:stretch>
                </pic:blipFill>
                <pic:spPr>
                  <a:xfrm>
                    <a:off x="0" y="0"/>
                    <a:ext cx="1603463" cy="805726"/>
                  </a:xfrm>
                  <a:prstGeom prst="rect">
                    <a:avLst/>
                  </a:prstGeom>
                </pic:spPr>
              </pic:pic>
            </a:graphicData>
          </a:graphic>
          <wp14:sizeRelH relativeFrom="page">
            <wp14:pctWidth>0</wp14:pctWidth>
          </wp14:sizeRelH>
          <wp14:sizeRelV relativeFrom="page">
            <wp14:pctHeight>0</wp14:pctHeight>
          </wp14:sizeRelV>
        </wp:anchor>
      </w:drawing>
    </w:r>
    <w:r w:rsidR="0069486A">
      <w:rPr>
        <w:rFonts w:ascii="Arial" w:hAnsi="Arial" w:cs="Arial"/>
        <w:color w:val="00071E"/>
        <w:sz w:val="14"/>
        <w:szCs w:val="14"/>
      </w:rPr>
      <w:t xml:space="preserve">FORTUNA ENTERTAINMENT GROUP </w:t>
    </w:r>
    <w:proofErr w:type="gramStart"/>
    <w:r w:rsidR="0069486A">
      <w:rPr>
        <w:rFonts w:ascii="Arial" w:hAnsi="Arial" w:cs="Arial"/>
        <w:color w:val="00071E"/>
        <w:sz w:val="14"/>
        <w:szCs w:val="14"/>
      </w:rPr>
      <w:t>N.V.</w:t>
    </w:r>
    <w:r w:rsidRPr="006B7C4A">
      <w:rPr>
        <w:rFonts w:ascii="Arial" w:hAnsi="Arial" w:cs="Arial"/>
        <w:color w:val="00071E"/>
        <w:sz w:val="15"/>
        <w:szCs w:val="14"/>
      </w:rPr>
      <w:br/>
    </w:r>
    <w:r w:rsidR="0069486A" w:rsidRPr="0069486A">
      <w:rPr>
        <w:rFonts w:ascii="Arial" w:hAnsi="Arial" w:cs="Arial"/>
        <w:color w:val="00071E"/>
        <w:sz w:val="15"/>
        <w:szCs w:val="14"/>
      </w:rPr>
      <w:t>Strawinskylaan</w:t>
    </w:r>
    <w:proofErr w:type="gramEnd"/>
    <w:r w:rsidR="0069486A" w:rsidRPr="0069486A">
      <w:rPr>
        <w:rFonts w:ascii="Arial" w:hAnsi="Arial" w:cs="Arial"/>
        <w:color w:val="00071E"/>
        <w:sz w:val="15"/>
        <w:szCs w:val="14"/>
      </w:rPr>
      <w:t xml:space="preserve"> 1223, 1077XX Amsterdam</w:t>
    </w:r>
    <w:r w:rsidR="0069486A">
      <w:rPr>
        <w:rFonts w:ascii="Arial" w:hAnsi="Arial" w:cs="Arial"/>
        <w:color w:val="00071E"/>
        <w:sz w:val="15"/>
        <w:szCs w:val="14"/>
      </w:rPr>
      <w:br/>
    </w:r>
    <w:proofErr w:type="spellStart"/>
    <w:r w:rsidR="0069486A">
      <w:rPr>
        <w:rFonts w:ascii="Arial" w:hAnsi="Arial" w:cs="Arial"/>
        <w:color w:val="00071E"/>
        <w:sz w:val="15"/>
        <w:szCs w:val="14"/>
      </w:rPr>
      <w:t>Netherlands</w:t>
    </w:r>
    <w:proofErr w:type="spellEnd"/>
    <w:r w:rsidRPr="006B7C4A">
      <w:rPr>
        <w:rFonts w:ascii="Arial" w:hAnsi="Arial" w:cs="Arial"/>
        <w:color w:val="00071E"/>
        <w:sz w:val="15"/>
        <w:szCs w:val="14"/>
      </w:rPr>
      <w:br/>
    </w:r>
    <w:proofErr w:type="spellStart"/>
    <w:r w:rsidRPr="006B7C4A">
      <w:rPr>
        <w:rFonts w:ascii="Arial" w:hAnsi="Arial" w:cs="Arial"/>
        <w:color w:val="00071E"/>
        <w:sz w:val="15"/>
        <w:szCs w:val="14"/>
      </w:rPr>
      <w:t>Phone</w:t>
    </w:r>
    <w:proofErr w:type="spellEnd"/>
    <w:r w:rsidRPr="006B7C4A">
      <w:rPr>
        <w:rFonts w:ascii="Arial" w:hAnsi="Arial" w:cs="Arial"/>
        <w:color w:val="00071E"/>
        <w:sz w:val="15"/>
        <w:szCs w:val="14"/>
      </w:rPr>
      <w:t>: +</w:t>
    </w:r>
    <w:r w:rsidR="0069486A" w:rsidRPr="0069486A">
      <w:rPr>
        <w:rFonts w:ascii="Arial" w:hAnsi="Arial" w:cs="Arial"/>
        <w:color w:val="00071E"/>
        <w:sz w:val="15"/>
        <w:szCs w:val="14"/>
      </w:rPr>
      <w:t>31 020 238 0320</w:t>
    </w:r>
    <w:r w:rsidRPr="006B7C4A">
      <w:rPr>
        <w:rFonts w:ascii="Arial" w:hAnsi="Arial" w:cs="Arial"/>
        <w:color w:val="00071E"/>
        <w:sz w:val="15"/>
        <w:szCs w:val="14"/>
      </w:rPr>
      <w:br/>
    </w:r>
    <w:r w:rsidR="0069486A">
      <w:rPr>
        <w:rFonts w:ascii="Arial" w:hAnsi="Arial" w:cs="Arial"/>
        <w:color w:val="00071E"/>
        <w:sz w:val="15"/>
        <w:szCs w:val="14"/>
      </w:rPr>
      <w:t>E-mail</w:t>
    </w:r>
    <w:r w:rsidRPr="006B7C4A">
      <w:rPr>
        <w:rFonts w:ascii="Arial" w:hAnsi="Arial" w:cs="Arial"/>
        <w:color w:val="00071E"/>
        <w:sz w:val="15"/>
        <w:szCs w:val="14"/>
      </w:rPr>
      <w:t xml:space="preserve">: </w:t>
    </w:r>
    <w:r w:rsidR="0069486A" w:rsidRPr="0069486A">
      <w:rPr>
        <w:rFonts w:ascii="Arial" w:hAnsi="Arial" w:cs="Arial"/>
        <w:color w:val="00071E"/>
        <w:sz w:val="15"/>
        <w:szCs w:val="14"/>
      </w:rPr>
      <w:t>office@fortunaeg.nl</w:t>
    </w:r>
    <w:r w:rsidRPr="006B7C4A">
      <w:rPr>
        <w:rFonts w:ascii="Arial" w:hAnsi="Arial" w:cs="Arial"/>
        <w:color w:val="00071E"/>
        <w:sz w:val="15"/>
        <w:szCs w:val="14"/>
      </w:rPr>
      <w:br/>
      <w:t>www.fortunagroup.eu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E1512"/>
    <w:multiLevelType w:val="hybridMultilevel"/>
    <w:tmpl w:val="03AAD064"/>
    <w:lvl w:ilvl="0" w:tplc="0A4A3E28">
      <w:start w:val="1"/>
      <w:numFmt w:val="bullet"/>
      <w:lvlText w:val=""/>
      <w:lvlJc w:val="left"/>
      <w:pPr>
        <w:ind w:left="644" w:hanging="360"/>
      </w:pPr>
      <w:rPr>
        <w:rFonts w:ascii="Symbol" w:hAnsi="Symbol" w:hint="default"/>
        <w:color w:val="auto"/>
      </w:rPr>
    </w:lvl>
    <w:lvl w:ilvl="1" w:tplc="6FB6227A" w:tentative="1">
      <w:start w:val="1"/>
      <w:numFmt w:val="bullet"/>
      <w:lvlText w:val="o"/>
      <w:lvlJc w:val="left"/>
      <w:pPr>
        <w:ind w:left="1364" w:hanging="360"/>
      </w:pPr>
      <w:rPr>
        <w:rFonts w:ascii="Courier New" w:hAnsi="Courier New" w:cs="Courier New" w:hint="default"/>
      </w:rPr>
    </w:lvl>
    <w:lvl w:ilvl="2" w:tplc="09705CF6" w:tentative="1">
      <w:start w:val="1"/>
      <w:numFmt w:val="bullet"/>
      <w:lvlText w:val=""/>
      <w:lvlJc w:val="left"/>
      <w:pPr>
        <w:ind w:left="2084" w:hanging="360"/>
      </w:pPr>
      <w:rPr>
        <w:rFonts w:ascii="Wingdings" w:hAnsi="Wingdings" w:hint="default"/>
      </w:rPr>
    </w:lvl>
    <w:lvl w:ilvl="3" w:tplc="A7E45C38" w:tentative="1">
      <w:start w:val="1"/>
      <w:numFmt w:val="bullet"/>
      <w:lvlText w:val=""/>
      <w:lvlJc w:val="left"/>
      <w:pPr>
        <w:ind w:left="2804" w:hanging="360"/>
      </w:pPr>
      <w:rPr>
        <w:rFonts w:ascii="Symbol" w:hAnsi="Symbol" w:hint="default"/>
      </w:rPr>
    </w:lvl>
    <w:lvl w:ilvl="4" w:tplc="36EC68F4" w:tentative="1">
      <w:start w:val="1"/>
      <w:numFmt w:val="bullet"/>
      <w:lvlText w:val="o"/>
      <w:lvlJc w:val="left"/>
      <w:pPr>
        <w:ind w:left="3524" w:hanging="360"/>
      </w:pPr>
      <w:rPr>
        <w:rFonts w:ascii="Courier New" w:hAnsi="Courier New" w:cs="Courier New" w:hint="default"/>
      </w:rPr>
    </w:lvl>
    <w:lvl w:ilvl="5" w:tplc="B108FE76" w:tentative="1">
      <w:start w:val="1"/>
      <w:numFmt w:val="bullet"/>
      <w:lvlText w:val=""/>
      <w:lvlJc w:val="left"/>
      <w:pPr>
        <w:ind w:left="4244" w:hanging="360"/>
      </w:pPr>
      <w:rPr>
        <w:rFonts w:ascii="Wingdings" w:hAnsi="Wingdings" w:hint="default"/>
      </w:rPr>
    </w:lvl>
    <w:lvl w:ilvl="6" w:tplc="882220D0" w:tentative="1">
      <w:start w:val="1"/>
      <w:numFmt w:val="bullet"/>
      <w:lvlText w:val=""/>
      <w:lvlJc w:val="left"/>
      <w:pPr>
        <w:ind w:left="4964" w:hanging="360"/>
      </w:pPr>
      <w:rPr>
        <w:rFonts w:ascii="Symbol" w:hAnsi="Symbol" w:hint="default"/>
      </w:rPr>
    </w:lvl>
    <w:lvl w:ilvl="7" w:tplc="5622B3C2" w:tentative="1">
      <w:start w:val="1"/>
      <w:numFmt w:val="bullet"/>
      <w:lvlText w:val="o"/>
      <w:lvlJc w:val="left"/>
      <w:pPr>
        <w:ind w:left="5684" w:hanging="360"/>
      </w:pPr>
      <w:rPr>
        <w:rFonts w:ascii="Courier New" w:hAnsi="Courier New" w:cs="Courier New" w:hint="default"/>
      </w:rPr>
    </w:lvl>
    <w:lvl w:ilvl="8" w:tplc="BA62C2B4" w:tentative="1">
      <w:start w:val="1"/>
      <w:numFmt w:val="bullet"/>
      <w:lvlText w:val=""/>
      <w:lvlJc w:val="left"/>
      <w:pPr>
        <w:ind w:left="6404" w:hanging="360"/>
      </w:pPr>
      <w:rPr>
        <w:rFonts w:ascii="Wingdings" w:hAnsi="Wingdings" w:hint="default"/>
      </w:rPr>
    </w:lvl>
  </w:abstractNum>
  <w:abstractNum w:abstractNumId="1" w15:restartNumberingAfterBreak="0">
    <w:nsid w:val="46AF6549"/>
    <w:multiLevelType w:val="hybridMultilevel"/>
    <w:tmpl w:val="48CAD1CA"/>
    <w:lvl w:ilvl="0" w:tplc="2CF8955A">
      <w:start w:val="1"/>
      <w:numFmt w:val="bullet"/>
      <w:lvlText w:val=""/>
      <w:lvlJc w:val="left"/>
      <w:pPr>
        <w:ind w:left="720" w:hanging="360"/>
      </w:pPr>
      <w:rPr>
        <w:rFonts w:ascii="Symbol" w:hAnsi="Symbol" w:hint="default"/>
      </w:rPr>
    </w:lvl>
    <w:lvl w:ilvl="1" w:tplc="2DDC96C2">
      <w:start w:val="1"/>
      <w:numFmt w:val="bullet"/>
      <w:lvlText w:val="o"/>
      <w:lvlJc w:val="left"/>
      <w:pPr>
        <w:ind w:left="1440" w:hanging="360"/>
      </w:pPr>
      <w:rPr>
        <w:rFonts w:ascii="Courier New" w:hAnsi="Courier New" w:cs="Courier New" w:hint="default"/>
      </w:rPr>
    </w:lvl>
    <w:lvl w:ilvl="2" w:tplc="F55C5932" w:tentative="1">
      <w:start w:val="1"/>
      <w:numFmt w:val="bullet"/>
      <w:lvlText w:val=""/>
      <w:lvlJc w:val="left"/>
      <w:pPr>
        <w:ind w:left="2160" w:hanging="360"/>
      </w:pPr>
      <w:rPr>
        <w:rFonts w:ascii="Wingdings" w:hAnsi="Wingdings" w:hint="default"/>
      </w:rPr>
    </w:lvl>
    <w:lvl w:ilvl="3" w:tplc="41828BC8" w:tentative="1">
      <w:start w:val="1"/>
      <w:numFmt w:val="bullet"/>
      <w:lvlText w:val=""/>
      <w:lvlJc w:val="left"/>
      <w:pPr>
        <w:ind w:left="2880" w:hanging="360"/>
      </w:pPr>
      <w:rPr>
        <w:rFonts w:ascii="Symbol" w:hAnsi="Symbol" w:hint="default"/>
      </w:rPr>
    </w:lvl>
    <w:lvl w:ilvl="4" w:tplc="EA5EA9F0" w:tentative="1">
      <w:start w:val="1"/>
      <w:numFmt w:val="bullet"/>
      <w:lvlText w:val="o"/>
      <w:lvlJc w:val="left"/>
      <w:pPr>
        <w:ind w:left="3600" w:hanging="360"/>
      </w:pPr>
      <w:rPr>
        <w:rFonts w:ascii="Courier New" w:hAnsi="Courier New" w:cs="Courier New" w:hint="default"/>
      </w:rPr>
    </w:lvl>
    <w:lvl w:ilvl="5" w:tplc="E132B8BE" w:tentative="1">
      <w:start w:val="1"/>
      <w:numFmt w:val="bullet"/>
      <w:lvlText w:val=""/>
      <w:lvlJc w:val="left"/>
      <w:pPr>
        <w:ind w:left="4320" w:hanging="360"/>
      </w:pPr>
      <w:rPr>
        <w:rFonts w:ascii="Wingdings" w:hAnsi="Wingdings" w:hint="default"/>
      </w:rPr>
    </w:lvl>
    <w:lvl w:ilvl="6" w:tplc="D02CA80A" w:tentative="1">
      <w:start w:val="1"/>
      <w:numFmt w:val="bullet"/>
      <w:lvlText w:val=""/>
      <w:lvlJc w:val="left"/>
      <w:pPr>
        <w:ind w:left="5040" w:hanging="360"/>
      </w:pPr>
      <w:rPr>
        <w:rFonts w:ascii="Symbol" w:hAnsi="Symbol" w:hint="default"/>
      </w:rPr>
    </w:lvl>
    <w:lvl w:ilvl="7" w:tplc="023E5B3C" w:tentative="1">
      <w:start w:val="1"/>
      <w:numFmt w:val="bullet"/>
      <w:lvlText w:val="o"/>
      <w:lvlJc w:val="left"/>
      <w:pPr>
        <w:ind w:left="5760" w:hanging="360"/>
      </w:pPr>
      <w:rPr>
        <w:rFonts w:ascii="Courier New" w:hAnsi="Courier New" w:cs="Courier New" w:hint="default"/>
      </w:rPr>
    </w:lvl>
    <w:lvl w:ilvl="8" w:tplc="5FC467A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5D"/>
    <w:rsid w:val="00050921"/>
    <w:rsid w:val="00054142"/>
    <w:rsid w:val="000B3CBC"/>
    <w:rsid w:val="001509FD"/>
    <w:rsid w:val="001776B4"/>
    <w:rsid w:val="001A2B89"/>
    <w:rsid w:val="002A4E59"/>
    <w:rsid w:val="0034688C"/>
    <w:rsid w:val="00460BD7"/>
    <w:rsid w:val="004732BF"/>
    <w:rsid w:val="004C6583"/>
    <w:rsid w:val="006110AD"/>
    <w:rsid w:val="006217F7"/>
    <w:rsid w:val="0069486A"/>
    <w:rsid w:val="006B7C4A"/>
    <w:rsid w:val="00791A01"/>
    <w:rsid w:val="007D2ABD"/>
    <w:rsid w:val="00946438"/>
    <w:rsid w:val="009F14A7"/>
    <w:rsid w:val="00A0080B"/>
    <w:rsid w:val="00A6106B"/>
    <w:rsid w:val="00AE3F08"/>
    <w:rsid w:val="00B169FB"/>
    <w:rsid w:val="00B50207"/>
    <w:rsid w:val="00BA4771"/>
    <w:rsid w:val="00BB7CC0"/>
    <w:rsid w:val="00BF2088"/>
    <w:rsid w:val="00C1555D"/>
    <w:rsid w:val="00C92902"/>
    <w:rsid w:val="00E417B3"/>
    <w:rsid w:val="00E4352C"/>
    <w:rsid w:val="00EC14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C20E0A48-76F0-4BFF-AA71-6F87B0B9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Základní text"/>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7C4A"/>
    <w:pPr>
      <w:tabs>
        <w:tab w:val="center" w:pos="4536"/>
        <w:tab w:val="right" w:pos="9072"/>
      </w:tabs>
    </w:pPr>
  </w:style>
  <w:style w:type="character" w:customStyle="1" w:styleId="ZhlavChar">
    <w:name w:val="Záhlaví Char"/>
    <w:basedOn w:val="Standardnpsmoodstavce"/>
    <w:link w:val="Zhlav"/>
    <w:uiPriority w:val="99"/>
    <w:rsid w:val="006B7C4A"/>
  </w:style>
  <w:style w:type="paragraph" w:styleId="Zpat">
    <w:name w:val="footer"/>
    <w:basedOn w:val="Normln"/>
    <w:link w:val="ZpatChar"/>
    <w:uiPriority w:val="99"/>
    <w:unhideWhenUsed/>
    <w:rsid w:val="006B7C4A"/>
    <w:pPr>
      <w:tabs>
        <w:tab w:val="center" w:pos="4536"/>
        <w:tab w:val="right" w:pos="9072"/>
      </w:tabs>
    </w:pPr>
  </w:style>
  <w:style w:type="character" w:customStyle="1" w:styleId="ZpatChar">
    <w:name w:val="Zápatí Char"/>
    <w:basedOn w:val="Standardnpsmoodstavce"/>
    <w:link w:val="Zpat"/>
    <w:uiPriority w:val="99"/>
    <w:rsid w:val="006B7C4A"/>
  </w:style>
  <w:style w:type="paragraph" w:styleId="Normlnweb">
    <w:name w:val="Normal (Web)"/>
    <w:basedOn w:val="Normln"/>
    <w:uiPriority w:val="99"/>
    <w:unhideWhenUsed/>
    <w:rsid w:val="006B7C4A"/>
    <w:pPr>
      <w:spacing w:before="100" w:beforeAutospacing="1" w:after="100" w:afterAutospacing="1"/>
    </w:pPr>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E4352C"/>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4352C"/>
    <w:rPr>
      <w:rFonts w:ascii="Times New Roman" w:hAnsi="Times New Roman" w:cs="Times New Roman"/>
      <w:sz w:val="18"/>
      <w:szCs w:val="18"/>
    </w:rPr>
  </w:style>
  <w:style w:type="character" w:styleId="slostrnky">
    <w:name w:val="page number"/>
    <w:basedOn w:val="Standardnpsmoodstavce"/>
    <w:uiPriority w:val="99"/>
    <w:semiHidden/>
    <w:unhideWhenUsed/>
    <w:rsid w:val="00E4352C"/>
  </w:style>
  <w:style w:type="paragraph" w:styleId="Zkladntext">
    <w:name w:val="Body Text"/>
    <w:basedOn w:val="Normln"/>
    <w:link w:val="ZkladntextChar"/>
    <w:rsid w:val="002A4E59"/>
    <w:pPr>
      <w:spacing w:after="240"/>
      <w:jc w:val="both"/>
    </w:pPr>
    <w:rPr>
      <w:rFonts w:ascii="Times New Roman" w:eastAsia="SimSun" w:hAnsi="Times New Roman" w:cs="Times New Roman"/>
      <w:lang w:val="en-GB" w:eastAsia="en-GB" w:bidi="ar-AE"/>
    </w:rPr>
  </w:style>
  <w:style w:type="character" w:customStyle="1" w:styleId="ZkladntextChar">
    <w:name w:val="Základní text Char"/>
    <w:basedOn w:val="Standardnpsmoodstavce"/>
    <w:link w:val="Zkladntext"/>
    <w:rsid w:val="002A4E59"/>
    <w:rPr>
      <w:rFonts w:ascii="Times New Roman" w:eastAsia="SimSun" w:hAnsi="Times New Roman" w:cs="Times New Roman"/>
      <w:lang w:val="en-GB" w:eastAsia="en-GB" w:bidi="ar-AE"/>
    </w:rPr>
  </w:style>
  <w:style w:type="paragraph" w:styleId="Odstavecseseznamem">
    <w:name w:val="List Paragraph"/>
    <w:basedOn w:val="Normln"/>
    <w:uiPriority w:val="34"/>
    <w:qFormat/>
    <w:rsid w:val="002A4E59"/>
    <w:pPr>
      <w:spacing w:after="240"/>
      <w:ind w:left="720"/>
      <w:contextualSpacing/>
      <w:jc w:val="both"/>
    </w:pPr>
    <w:rPr>
      <w:rFonts w:ascii="Times New Roman" w:eastAsia="SimSun" w:hAnsi="Times New Roman" w:cs="Times New Roman"/>
      <w:lang w:val="en-GB" w:eastAsia="zh-CN" w:bidi="ar-AE"/>
    </w:rPr>
  </w:style>
  <w:style w:type="character" w:styleId="Hypertextovodkaz">
    <w:name w:val="Hyperlink"/>
    <w:basedOn w:val="Standardnpsmoodstavce"/>
    <w:uiPriority w:val="99"/>
    <w:unhideWhenUsed/>
    <w:rsid w:val="002A4E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5076">
      <w:bodyDiv w:val="1"/>
      <w:marLeft w:val="0"/>
      <w:marRight w:val="0"/>
      <w:marTop w:val="0"/>
      <w:marBottom w:val="0"/>
      <w:divBdr>
        <w:top w:val="none" w:sz="0" w:space="0" w:color="auto"/>
        <w:left w:val="none" w:sz="0" w:space="0" w:color="auto"/>
        <w:bottom w:val="none" w:sz="0" w:space="0" w:color="auto"/>
        <w:right w:val="none" w:sz="0" w:space="0" w:color="auto"/>
      </w:divBdr>
      <w:divsChild>
        <w:div w:id="948857723">
          <w:marLeft w:val="0"/>
          <w:marRight w:val="0"/>
          <w:marTop w:val="0"/>
          <w:marBottom w:val="0"/>
          <w:divBdr>
            <w:top w:val="none" w:sz="0" w:space="0" w:color="auto"/>
            <w:left w:val="none" w:sz="0" w:space="0" w:color="auto"/>
            <w:bottom w:val="none" w:sz="0" w:space="0" w:color="auto"/>
            <w:right w:val="none" w:sz="0" w:space="0" w:color="auto"/>
          </w:divBdr>
          <w:divsChild>
            <w:div w:id="2143843484">
              <w:marLeft w:val="0"/>
              <w:marRight w:val="0"/>
              <w:marTop w:val="0"/>
              <w:marBottom w:val="0"/>
              <w:divBdr>
                <w:top w:val="none" w:sz="0" w:space="0" w:color="auto"/>
                <w:left w:val="none" w:sz="0" w:space="0" w:color="auto"/>
                <w:bottom w:val="none" w:sz="0" w:space="0" w:color="auto"/>
                <w:right w:val="none" w:sz="0" w:space="0" w:color="auto"/>
              </w:divBdr>
              <w:divsChild>
                <w:div w:id="14207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ignatiekas@minfin.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1311</Words>
  <Characters>7736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dc:creator>
  <cp:keywords/>
  <cp:lastModifiedBy>Klára</cp:lastModifiedBy>
  <cp:revision>5</cp:revision>
  <dcterms:created xsi:type="dcterms:W3CDTF">2019-04-15T15:27:00Z</dcterms:created>
  <dcterms:modified xsi:type="dcterms:W3CDTF">2019-04-15T15:29:00Z</dcterms:modified>
</cp:coreProperties>
</file>